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manticprompttransfer-v0.22-운영-요구사항"/>
    <w:p>
      <w:pPr>
        <w:pStyle w:val="Title"/>
      </w:pPr>
      <w:r>
        <w:rPr>
          <w:rFonts w:ascii="NanumGothic" w:hAnsi="NanumGothic" w:eastAsia="NanumGothic"/>
        </w:rPr>
        <w:t xml:space="preserve">SemanticPromptTransfer v0.22 운영 요구사항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기준 버전: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semantic-prompt-transfer==0.22.0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기준일: 2026-08-31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기본 표현: L0</w:t>
      </w:r>
    </w:p>
    <w:p>
      <w:pPr>
        <w:numPr>
          <w:ilvl w:val="0"/>
          <w:numId w:val="1001"/>
        </w:numPr>
        <w:pStyle w:val="Compact"/>
      </w:pPr>
      <w:r>
        <w:rPr>
          <w:rFonts w:ascii="NanumGothic" w:hAnsi="NanumGothic" w:eastAsia="NanumGothic"/>
        </w:rPr>
        <w:t xml:space="preserve">적용 범위: 제한 시간형 Colab POC, HTML 사용자 화면, 다중 파일 RAG, 심사의견 DOCX</w:t>
      </w:r>
    </w:p>
    <w:bookmarkStart w:id="20" w:name="목적과-배치-가정"/>
    <w:p>
      <w:pPr>
        <w:pStyle w:val="Heading2"/>
      </w:pPr>
      <w:r>
        <w:rPr>
          <w:rFonts w:ascii="NanumGothic" w:hAnsi="NanumGothic" w:eastAsia="NanumGothic"/>
        </w:rPr>
        <w:t xml:space="preserve">1. 목적과 배치 가정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사용자는 외부 URL의 HTML에 접속한다. 애플리케이션 Colab은 테스트 시간에만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기동하며 Google Drive를 사용하지 않는다. 별도 LLM Colab은 선택적으로 연결한다.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실제 운영 배치는 더 복잡해질 수 있으므로 저장소, Vector DB, 인증, LLM은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교체 가능한 경계로 유지한다.</w:t>
      </w:r>
    </w:p>
    <w:bookmarkEnd w:id="20"/>
    <w:bookmarkStart w:id="21" w:name="회원가입과-로그인"/>
    <w:p>
      <w:pPr>
        <w:pStyle w:val="Heading2"/>
      </w:pPr>
      <w:r>
        <w:rPr>
          <w:rFonts w:ascii="NanumGothic" w:hAnsi="NanumGothic" w:eastAsia="NanumGothic"/>
        </w:rPr>
        <w:t xml:space="preserve">2. 회원가입과 로그인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회원가입 필드는 부서명, 이름, 사번으로 한정한다. POC에서 아이디와 초기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비밀번호는 사번이다. 비밀번호 검증값은 PBKDF2-HMAC 해시로 임시 SQLite에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보관한다. 세션 토큰은 만료시간을 가지며 사용자별 해시형 case 범위에 묶는다.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다른 사용자 범위의 문서·작업·다운로드 요청은 거부한다.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이 인증 규칙은 제한된 POC 전용이다. 운영 전에는 SSO, RBAC, 비밀번호 정책,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계정 생명주기, 감사와 개인정보 정책으로 교체해야 한다.</w:t>
      </w:r>
    </w:p>
    <w:bookmarkEnd w:id="21"/>
    <w:bookmarkStart w:id="22" w:name="최소-html"/>
    <w:p>
      <w:pPr>
        <w:pStyle w:val="Heading2"/>
      </w:pPr>
      <w:r>
        <w:rPr>
          <w:rFonts w:ascii="NanumGothic" w:hAnsi="NanumGothic" w:eastAsia="NanumGothic"/>
        </w:rPr>
        <w:t xml:space="preserve">3. 최소 HTML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로그인 후 메인 화면은 다음 기능만 제공한다.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신용조사서: 업로드, 양식 다운로드, 업로드 파일명과 단계,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×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삭제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기타 첨부자료: 복수 업로드, 각 파일명과 단계,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×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삭제</w:t>
      </w:r>
    </w:p>
    <w:p>
      <w:pPr>
        <w:numPr>
          <w:ilvl w:val="0"/>
          <w:numId w:val="1002"/>
        </w:numPr>
        <w:pStyle w:val="Compact"/>
      </w:pPr>
      <w:r>
        <w:rPr>
          <w:rFonts w:ascii="NanumGothic" w:hAnsi="NanumGothic" w:eastAsia="NanumGothic"/>
        </w:rPr>
        <w:t xml:space="preserve">심사의견: 생성·다운로드 버튼과 진행률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업로드 진행률 막대, 업로드 자료현황 버튼, 자료현황 팝업은 두지 않는다. 파일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진행은 파일명 옆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파일적재/파일검증/파일해석/벡터임베딩/완료/실패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텍스트로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표시한다.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×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성공 응답 후에만 해당 파일명을 화면에서 제거한다.</w:t>
      </w:r>
    </w:p>
    <w:bookmarkEnd w:id="22"/>
    <w:bookmarkStart w:id="23" w:name="신용조사서-양식"/>
    <w:p>
      <w:pPr>
        <w:pStyle w:val="Heading2"/>
      </w:pPr>
      <w:r>
        <w:rPr>
          <w:rFonts w:ascii="NanumGothic" w:hAnsi="NanumGothic" w:eastAsia="NanumGothic"/>
        </w:rPr>
        <w:t xml:space="preserve">4. 신용조사서 양식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한 심사건에는 활성 신용조사서 XLSX 1개만 허용한다. 인증된 사용자는 고정 API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경로로 양식을 내려받는다. 현재 포함 파일은 다운로드·파싱 연결 검증용 빈 예시다.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실제 양식 제공 시 XLSX와 셀 매핑 JSON을 같은 버전으로 교체한다.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파싱된 모든 사실은 파일명, sheet, cell, 기간, 단위, 수식, 템플릿 버전,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source hash를 보존한다. 신용조사서는 벡터 검색보다 우선하는 정형 기준이다.</w:t>
      </w:r>
    </w:p>
    <w:bookmarkEnd w:id="23"/>
    <w:bookmarkStart w:id="24" w:name="기타-첨부자료와-단일-논리-vector-db"/>
    <w:p>
      <w:pPr>
        <w:pStyle w:val="Heading2"/>
      </w:pPr>
      <w:r>
        <w:rPr>
          <w:rFonts w:ascii="NanumGothic" w:hAnsi="NanumGothic" w:eastAsia="NanumGothic"/>
        </w:rPr>
        <w:t xml:space="preserve">5. 기타 첨부자료와 단일 논리 Vector DB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허용 형식은 PDF, DOCX, XLSX, TXT, MD이다. 각 파일을 텍스트 블록으로 읽고 L0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청크와 E5 임베딩을 만든다. 여러 파일은 하나의 논리 검색 DB로 사용하되 POC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물리 저장은 문서당 원자적 NPZ shard로 한다.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모든 점은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(tenant_id, case_id, document_id)</w:t>
      </w:r>
      <w:r>
        <w:rPr>
          <w:rFonts w:ascii="NanumGothic" w:hAnsi="NanumGothic" w:eastAsia="NanumGothic"/>
        </w:rPr>
        <w:t xml:space="preserve">를 가진다. 검색은 tenant와 case를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필수로 하고 교체·삭제는 document까지 포함한다. 한 파일 작업이 다른 파일 shard를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재작성하지 않아야 한다.</w:t>
      </w:r>
    </w:p>
    <w:bookmarkEnd w:id="24"/>
    <w:bookmarkStart w:id="25" w:name="근거-우선순위와-few-shot"/>
    <w:p>
      <w:pPr>
        <w:pStyle w:val="Heading2"/>
      </w:pPr>
      <w:r>
        <w:rPr>
          <w:rFonts w:ascii="NanumGothic" w:hAnsi="NanumGothic" w:eastAsia="NanumGothic"/>
        </w:rPr>
        <w:t xml:space="preserve">6. 근거 우선순위와 FEW SHOT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각 심사항목의 근거 우선순위는 고정한다.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TIER 1: 신용조사서 내 해당 항목 기초자료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TIER 2: 신용조사서 내 공통 기초자료</w:t>
      </w:r>
    </w:p>
    <w:p>
      <w:pPr>
        <w:numPr>
          <w:ilvl w:val="0"/>
          <w:numId w:val="1003"/>
        </w:numPr>
        <w:pStyle w:val="Compact"/>
      </w:pPr>
      <w:r>
        <w:rPr>
          <w:rFonts w:ascii="NanumGothic" w:hAnsi="NanumGothic" w:eastAsia="NanumGothic"/>
        </w:rPr>
        <w:t xml:space="preserve">TIER 3: 기타 첨부파일 검색 근거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고정 항목은 주요계정, 수익성, 재무안정성 및 자산의 질, 현금흐름 및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채무상환능력, 주요 매출처 및 매출비중의 5개다. 표시 제목은 결정적 확장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프로필로 검색 쿼리를 풍부하게 한다. FEW SHOT은 항목·여신유형·산업분류·상황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태그로 선택하되 사실 근거에서 격리한다.</w:t>
      </w:r>
    </w:p>
    <w:bookmarkEnd w:id="25"/>
    <w:bookmarkStart w:id="26" w:name="llm-교체-계약"/>
    <w:p>
      <w:pPr>
        <w:pStyle w:val="Heading2"/>
      </w:pPr>
      <w:r>
        <w:rPr>
          <w:rFonts w:ascii="NanumGothic" w:hAnsi="NanumGothic" w:eastAsia="NanumGothic"/>
        </w:rPr>
        <w:t xml:space="preserve">7. LLM 교체 계약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생성기는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generate(messages) -&gt; str</w:t>
      </w:r>
      <w:r>
        <w:rPr>
          <w:rFonts w:ascii="NanumGothic" w:hAnsi="NanumGothic" w:eastAsia="NanumGothic"/>
        </w:rPr>
        <w:t xml:space="preserve">의 공급자 중립 계약을 구현한다. 별도 LLM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Colab은 HTTPS OpenAI 호환 endpoint로 연결한다. API key는 환경변수로만 제공하며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소스·HTML에 넣지 않는다. 외부 LLM이 없거나 실패하면 즉시 실행 가능한 근거형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CPU 폴백을 사용한다. 출력은 evidence_id와 수치 근거 검증을 통과해야 한다.</w:t>
      </w:r>
    </w:p>
    <w:bookmarkEnd w:id="26"/>
    <w:bookmarkStart w:id="27" w:name="삭제와-런타임-종료"/>
    <w:p>
      <w:pPr>
        <w:pStyle w:val="Heading2"/>
      </w:pPr>
      <w:r>
        <w:rPr>
          <w:rFonts w:ascii="NanumGothic" w:hAnsi="NanumGothic" w:eastAsia="NanumGothic"/>
        </w:rPr>
        <w:t xml:space="preserve">8. 삭제와 런타임 종료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파일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×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삭제는 대상 벡터 삭제, 동일 범위 count 0, 파생파일 삭제, 서버 원본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부재를 모두 확인한 후 완료한다. 실패 시 성공으로 숨기지 않고</w:t>
      </w:r>
      <w:r>
        <w:rPr>
          <w:rFonts w:ascii="NanumGothic" w:hAnsi="NanumGothic" w:eastAsia="NanumGothic"/>
        </w:rPr>
        <w:t xml:space="preserve"> </w:t>
      </w:r>
      <w:r>
        <w:rPr>
          <w:rStyle w:val="VerbatimChar"/>
          <w:rFonts w:ascii="NanumGothic" w:hAnsi="NanumGothic" w:eastAsia="NanumGothic"/>
        </w:rPr>
        <w:t xml:space="preserve">FAILED</w:t>
      </w:r>
      <w:r>
        <w:rPr>
          <w:rFonts w:ascii="NanumGothic" w:hAnsi="NanumGothic" w:eastAsia="NanumGothic"/>
        </w:rPr>
        <w:t xml:space="preserve">로 남긴다.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사용자 PC에 있는 원본은 삭제하지 않는다.</w:t>
      </w:r>
    </w:p>
    <w:p>
      <w:pPr>
        <w:pStyle w:val="BodyText"/>
      </w:pPr>
      <w:r>
        <w:rPr>
          <w:rFonts w:ascii="NanumGothic" w:hAnsi="NanumGothic" w:eastAsia="NanumGothic"/>
        </w:rPr>
        <w:t xml:space="preserve">브라우저 로그아웃은 세션 토큰만 폐기한다. 테스트 시간 종료 시 Colab runtime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root 전체를 삭제해 회원, 업로드, 파생자료, 벡터, 의견 파일을 모두 제거한다.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Google Drive mount와 쓰기는 금지한다.</w:t>
      </w:r>
    </w:p>
    <w:bookmarkEnd w:id="27"/>
    <w:bookmarkStart w:id="28" w:name="api진행률다운로드"/>
    <w:p>
      <w:pPr>
        <w:pStyle w:val="Heading2"/>
      </w:pPr>
      <w:r>
        <w:rPr>
          <w:rFonts w:ascii="NanumGothic" w:hAnsi="NanumGothic" w:eastAsia="NanumGothic"/>
        </w:rPr>
        <w:t xml:space="preserve">9. API·진행률·다운로드</w:t>
      </w:r>
    </w:p>
    <w:p>
      <w:pPr>
        <w:pStyle w:val="FirstParagraph"/>
      </w:pPr>
      <w:r>
        <w:rPr>
          <w:rFonts w:ascii="NanumGothic" w:hAnsi="NanumGothic" w:eastAsia="NanumGothic"/>
        </w:rPr>
        <w:t xml:space="preserve">health, 회원가입, 로그인 외 모든 API는 토큰을 요구한다. 업로드는 백그라운드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처리로 전환하고 파일 목록에서 단계를 조회한다. 심사의견은 별도 job으로 시작해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0~100 진행률을 조회한다. 진행률 100, 출력 경로의 runtime-root 포함, DOCX 실재를</w:t>
      </w:r>
      <w:r>
        <w:rPr>
          <w:rFonts w:ascii="NanumGothic" w:hAnsi="NanumGothic" w:eastAsia="NanumGothic"/>
        </w:rPr>
        <w:t xml:space="preserve"> </w:t>
      </w:r>
      <w:r>
        <w:rPr>
          <w:rFonts w:ascii="NanumGothic" w:hAnsi="NanumGothic" w:eastAsia="NanumGothic"/>
        </w:rPr>
        <w:t xml:space="preserve">모두 확인한 뒤 다운로드한다.</w:t>
      </w:r>
    </w:p>
    <w:bookmarkEnd w:id="28"/>
    <w:bookmarkStart w:id="29" w:name="합격-기준"/>
    <w:p>
      <w:pPr>
        <w:pStyle w:val="Heading2"/>
      </w:pPr>
      <w:r>
        <w:rPr>
          <w:rFonts w:ascii="NanumGothic" w:hAnsi="NanumGothic" w:eastAsia="NanumGothic"/>
        </w:rPr>
        <w:t xml:space="preserve">10. 합격 기준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소스 컴파일과 전체 단위 테스트 통과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실제 CPU E5로 PDF 2개 동시 검색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신용조사서 1개에서 정형 사실 추출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5개 고정 항목과 DOCX 생성, 진행률 100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FastAPI 회원가입·로그인·양식·업로드·목록·삭제·생성·다운로드 실요청 통과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다른 사용자 case 접근 차단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파일 삭제 후 원본·파생파일·해당 벡터 0건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runtime close 후 root 부재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v0.21 대비 L0 1,090개 ID·임베딩 입력·전달문 동일</w:t>
      </w:r>
    </w:p>
    <w:p>
      <w:pPr>
        <w:numPr>
          <w:ilvl w:val="0"/>
          <w:numId w:val="1004"/>
        </w:numPr>
        <w:pStyle w:val="Compact"/>
      </w:pPr>
      <w:r>
        <w:rPr>
          <w:rFonts w:ascii="NanumGothic" w:hAnsi="NanumGothic" w:eastAsia="NanumGothic"/>
        </w:rPr>
        <w:t xml:space="preserve">wheel/sdist 격리 설치와 패키지 내 HTML/XLSX 포함</w:t>
      </w:r>
    </w:p>
    <w:bookmarkEnd w:id="29"/>
    <w:bookmarkStart w:id="30" w:name="운영-전-잔여-과제"/>
    <w:p>
      <w:pPr>
        <w:pStyle w:val="Heading2"/>
      </w:pPr>
      <w:r>
        <w:rPr>
          <w:rFonts w:ascii="NanumGothic" w:hAnsi="NanumGothic" w:eastAsia="NanumGothic"/>
        </w:rPr>
        <w:t xml:space="preserve">11. 운영 전 잔여 과제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실제 은행 신용조사서 XLSX와 셀 매핑 확정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공식 심사의견 Word 양식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OCR·복잡표·스캔 PDF 전처리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기업 SSO/RBAC, 개인정보·감사·보존 정책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악성파일 검사, 암호화 저장소, 관리형 Vector DB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분산 작업 큐와 다중 서버 상태 저장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터널 및 CORS 허용 URL 통제, TLS, rate limit</w:t>
      </w:r>
    </w:p>
    <w:p>
      <w:pPr>
        <w:numPr>
          <w:ilvl w:val="0"/>
          <w:numId w:val="1005"/>
        </w:numPr>
        <w:pStyle w:val="Compact"/>
      </w:pPr>
      <w:r>
        <w:rPr>
          <w:rFonts w:ascii="NanumGothic" w:hAnsi="NanumGothic" w:eastAsia="NanumGothic"/>
        </w:rPr>
        <w:t xml:space="preserve">내부 LLM 품질·지연·메모리·보안 평가</w:t>
      </w:r>
    </w:p>
    <w:bookmarkEnd w:id="30"/>
    <w:bookmarkEnd w:id="31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anumGothic" w:hAnsi="NanumGothic" w:eastAsia="NanumGothic"/>
        <w:color w:val="666666"/>
        <w:sz w:val="17"/>
      </w:rPr>
      <w:t xml:space="preserve">페이지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Gothic" w:hAnsi="NanumGothic" w:eastAsia="NanumGothic"/>
        <w:color w:val="666666"/>
        <w:sz w:val="17"/>
      </w:rPr>
      <w:t>SemanticPromptTransfer v0.22 | Colab POC 운영 요구사항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NanumGothic" w:hAnsi="NanumGothic" w:eastAsia="NanumGothic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/>
      <w:jc w:val="center"/>
    </w:pPr>
    <w:rPr>
      <w:rFonts w:asciiTheme="majorHAnsi" w:cstheme="majorBidi" w:eastAsiaTheme="majorEastAsia" w:hAnsiTheme="majorHAnsi" w:ascii="NanumGothic" w:hAnsi="NanumGothic" w:eastAsia="NanumGothic"/>
      <w:b/>
      <w:bCs/>
      <w:color w:val="000000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0"/>
      <w:jc w:val="center"/>
    </w:pPr>
    <w:rPr>
      <w:rFonts w:ascii="NanumGothic" w:hAnsi="NanumGothic" w:eastAsia="NanumGothic"/>
      <w:b w:val="0"/>
      <w:color w:val="666666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SemanticPromptTransfer v0.22 Colab POC 운영 요구사항</dc:title>
  <dc:creator>SemanticPromptTransfer</dc:creator>
  <cp:keywords/>
  <dcterms:created xsi:type="dcterms:W3CDTF">2026-08-31T04:33:36Z</dcterms:created>
  <dcterms:modified xsi:type="dcterms:W3CDTF">2026-08-31T04:33:36Z</dcterms:modified>
  <dc:subject>회원가입, 양식 다운로드, 다중 PDF RAG, LLM 교체, 검증 삭제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