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맑은 고딕"/>
          <w:b/>
          <w:sz w:val="42"/>
        </w:rPr>
        <w:t>여신 심사의견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심사건</w:t>
            </w:r>
          </w:p>
        </w:tc>
        <w:tc>
          <w:tcPr>
            <w:tcW w:type="dxa" w:w="4929"/>
          </w:tcPr>
          <w:p>
            <w:r>
              <w:t>case-001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여신유형</w:t>
            </w:r>
          </w:p>
        </w:tc>
        <w:tc>
          <w:tcPr>
            <w:tcW w:type="dxa" w:w="4929"/>
          </w:tcPr>
          <w:p>
            <w:r>
              <w:t>운전자금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산업분류</w:t>
            </w:r>
          </w:p>
        </w:tc>
        <w:tc>
          <w:tcPr>
            <w:tcW w:type="dxa" w:w="4929"/>
          </w:tcPr>
          <w:p>
            <w:r>
              <w:t>C29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대상기업</w:t>
            </w:r>
          </w:p>
        </w:tc>
        <w:tc>
          <w:tcPr>
            <w:tcW w:type="dxa" w:w="4929"/>
          </w:tcPr>
          <w:p>
            <w:r>
              <w:t>샘플기업</w:t>
            </w:r>
          </w:p>
        </w:tc>
      </w:tr>
    </w:tbl>
    <w:p/>
    <w:p>
      <w:pPr>
        <w:pStyle w:val="Heading1"/>
        <w:spacing w:before="240" w:after="80"/>
      </w:pPr>
      <w:r>
        <w:rPr>
          <w:b/>
        </w:rPr>
        <w:t>가. 재무제표 주요계정(현황 및 향후전망)</w:t>
      </w:r>
    </w:p>
    <w:p>
      <w:pPr>
        <w:spacing w:line="300" w:lineRule="auto" w:after="120"/>
      </w:pPr>
      <w:r>
        <w:t>제공된 근거를 기준으로 현황과 주요 변동요인 및 향후 확인사항을 검토하였다. CR_9c2d742faa7424448798</w:t>
      </w:r>
    </w:p>
    <w:p>
      <w:pPr>
        <w:pStyle w:val="Heading1"/>
        <w:spacing w:before="240" w:after="80"/>
      </w:pPr>
      <w:r>
        <w:rPr>
          <w:b/>
        </w:rPr>
        <w:t>나. 수익성(현황 및 향후전망)</w:t>
      </w:r>
    </w:p>
    <w:p>
      <w:pPr>
        <w:spacing w:line="300" w:lineRule="auto" w:after="120"/>
      </w:pPr>
      <w:r>
        <w:t>제공된 근거를 기준으로 현황과 주요 변동요인 및 향후 확인사항을 검토하였다. CR_7130970e92e66ee1d4cb</w:t>
      </w:r>
    </w:p>
    <w:p>
      <w:pPr>
        <w:pStyle w:val="Heading1"/>
        <w:spacing w:before="240" w:after="80"/>
      </w:pPr>
      <w:r>
        <w:rPr>
          <w:b/>
        </w:rPr>
        <w:t>다. 재무안정성 및 자산의 질(현황 및 향후전망)</w:t>
      </w:r>
    </w:p>
    <w:p>
      <w:pPr>
        <w:spacing w:line="300" w:lineRule="auto" w:after="120"/>
      </w:pPr>
      <w:r>
        <w:t>제공된 근거를 기준으로 현황과 주요 변동요인 및 향후 확인사항을 검토하였다. CR_5285f81c25d01eb5f9da</w:t>
      </w:r>
    </w:p>
    <w:p>
      <w:pPr>
        <w:pStyle w:val="Heading1"/>
        <w:spacing w:before="240" w:after="80"/>
      </w:pPr>
      <w:r>
        <w:rPr>
          <w:b/>
        </w:rPr>
        <w:t>라. 현금흐름 및 채무상환능력(현황 및 향후전망)</w:t>
      </w:r>
    </w:p>
    <w:p>
      <w:pPr>
        <w:spacing w:line="300" w:lineRule="auto" w:after="120"/>
      </w:pPr>
      <w:r>
        <w:t>제공된 근거를 기준으로 현황과 주요 변동요인 및 향후 확인사항을 검토하였다. CR_0981b978cf9c74bc694f</w:t>
      </w:r>
    </w:p>
    <w:p>
      <w:pPr>
        <w:pStyle w:val="Heading1"/>
        <w:spacing w:before="240" w:after="80"/>
      </w:pPr>
      <w:r>
        <w:rPr>
          <w:b/>
        </w:rPr>
        <w:t>마. 주요 매출처 및 매출비중 변동 추이</w:t>
      </w:r>
    </w:p>
    <w:p>
      <w:pPr>
        <w:spacing w:line="300" w:lineRule="auto" w:after="120"/>
      </w:pPr>
      <w:r>
        <w:t>제공된 근거를 기준으로 현황과 주요 변동요인 및 향후 확인사항을 검토하였다. CR_f0767e63c2cab9c1fb7a</w:t>
      </w:r>
    </w:p>
    <w:p>
      <w:r>
        <w:br w:type="page"/>
      </w:r>
    </w:p>
    <w:p>
      <w:pPr>
        <w:pStyle w:val="Heading1"/>
      </w:pPr>
      <w:r>
        <w:t>근거 추적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심사항목</w:t>
            </w:r>
          </w:p>
        </w:tc>
        <w:tc>
          <w:tcPr>
            <w:tcW w:type="dxa" w:w="4929"/>
          </w:tcPr>
          <w:p>
            <w:r>
              <w:t>사용 근거 ID</w:t>
            </w:r>
          </w:p>
        </w:tc>
      </w:tr>
      <w:tr>
        <w:tc>
          <w:tcPr>
            <w:tcW w:type="dxa" w:w="4929"/>
          </w:tcPr>
          <w:p>
            <w:r>
              <w:t>A. 재무제표 주요계정(현황 및 향후전망)</w:t>
            </w:r>
          </w:p>
        </w:tc>
        <w:tc>
          <w:tcPr>
            <w:tcW w:type="dxa" w:w="4929"/>
          </w:tcPr>
          <w:p>
            <w:r>
              <w:t>CR_9c2d742faa7424448798</w:t>
            </w:r>
          </w:p>
        </w:tc>
      </w:tr>
      <w:tr>
        <w:tc>
          <w:tcPr>
            <w:tcW w:type="dxa" w:w="4929"/>
          </w:tcPr>
          <w:p>
            <w:r>
              <w:t>B. 수익성(현황 및 향후전망)</w:t>
            </w:r>
          </w:p>
        </w:tc>
        <w:tc>
          <w:tcPr>
            <w:tcW w:type="dxa" w:w="4929"/>
          </w:tcPr>
          <w:p>
            <w:r>
              <w:t>CR_7130970e92e66ee1d4cb</w:t>
            </w:r>
          </w:p>
        </w:tc>
      </w:tr>
      <w:tr>
        <w:tc>
          <w:tcPr>
            <w:tcW w:type="dxa" w:w="4929"/>
          </w:tcPr>
          <w:p>
            <w:r>
              <w:t>C. 재무안정성 및 자산의 질(현황 및 향후전망)</w:t>
            </w:r>
          </w:p>
        </w:tc>
        <w:tc>
          <w:tcPr>
            <w:tcW w:type="dxa" w:w="4929"/>
          </w:tcPr>
          <w:p>
            <w:r>
              <w:t>CR_5285f81c25d01eb5f9da</w:t>
            </w:r>
          </w:p>
        </w:tc>
      </w:tr>
      <w:tr>
        <w:tc>
          <w:tcPr>
            <w:tcW w:type="dxa" w:w="4929"/>
          </w:tcPr>
          <w:p>
            <w:r>
              <w:t>D. 현금흐름 및 채무상환능력(현황 및 향후전망)</w:t>
            </w:r>
          </w:p>
        </w:tc>
        <w:tc>
          <w:tcPr>
            <w:tcW w:type="dxa" w:w="4929"/>
          </w:tcPr>
          <w:p>
            <w:r>
              <w:t>CR_0981b978cf9c74bc694f</w:t>
            </w:r>
          </w:p>
        </w:tc>
      </w:tr>
      <w:tr>
        <w:tc>
          <w:tcPr>
            <w:tcW w:type="dxa" w:w="4929"/>
          </w:tcPr>
          <w:p>
            <w:r>
              <w:t>E. 주요 매출처 및 매출비중 변동 추이</w:t>
            </w:r>
          </w:p>
        </w:tc>
        <w:tc>
          <w:tcPr>
            <w:tcW w:type="dxa" w:w="4929"/>
          </w:tcPr>
          <w:p>
            <w:r>
              <w:t>CR_f0767e63c2cab9c1fb7a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SemanticPromptTransfer v0.20 · 근거 추적형 생성문서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맑은 고딕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