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jc w:val="start"/>
        <w:rPr/>
      </w:pPr>
      <w:r>
        <w:rPr/>
        <w:t>Presupuesto de desarrollo</w:t>
      </w:r>
    </w:p>
    <w:p>
      <w:pPr>
        <w:pStyle w:val="BodyTextsubtitulo"/>
        <w:bidi w:val="0"/>
        <w:jc w:val="start"/>
        <w:rPr/>
      </w:pPr>
      <w:r>
        <w:rPr/>
        <w:t>Mejora de archivos Excel de ingresos — RAMUCH</w:t>
      </w:r>
    </w:p>
    <w:p>
      <w:pPr>
        <w:pStyle w:val="BodyText"/>
        <w:bidi w:val="0"/>
        <w:spacing w:before="0" w:after="283"/>
        <w:jc w:val="start"/>
        <w:rPr/>
      </w:pPr>
      <w:r>
        <w:rPr>
          <w:rStyle w:val="Strong"/>
        </w:rPr>
        <w:t>Fecha:</w:t>
      </w:r>
      <w:r>
        <w:rPr/>
        <w:t xml:space="preserve"> 12 de septiembre de 2026</w:t>
      </w:r>
    </w:p>
    <w:p>
      <w:pPr>
        <w:pStyle w:val="BodyText"/>
        <w:bidi w:val="0"/>
        <w:ind w:hanging="0" w:start="0" w:end="0"/>
        <w:jc w:val="start"/>
        <w:rPr/>
      </w:pPr>
      <w:r>
        <w:rPr>
          <w:rStyle w:val="Strong"/>
          <w:bdr w:val="single" w:sz="30" w:space="11" w:color="2A84B8"/>
          <w:shd w:fill="EEF5FA" w:val="clear"/>
        </w:rPr>
        <w:t>Objetivo</w:t>
      </w:r>
      <w:r>
        <w:rPr>
          <w:bdr w:val="single" w:sz="30" w:space="11" w:color="2A84B8"/>
          <w:shd w:fill="EEF5FA" w:val="clear"/>
        </w:rPr>
        <w:br/>
        <w:t xml:space="preserve">Mejorar los informes Excel generados desde la sección de ingresos para que cada pago pueda identificarse por concepto, tipo de socio y periodo pagado, manteniendo conciliación con el monto total recibido. </w:t>
      </w:r>
    </w:p>
    <w:p>
      <w:pPr>
        <w:pStyle w:val="Heading2"/>
        <w:numPr>
          <w:ilvl w:val="0"/>
          <w:numId w:val="0"/>
        </w:numPr>
        <w:pBdr/>
        <w:bidi w:val="0"/>
        <w:spacing w:before="315" w:after="120"/>
        <w:jc w:val="start"/>
        <w:rPr/>
      </w:pPr>
      <w:r>
        <w:rPr/>
        <w:t>Evaluación de lo existente</w:t>
      </w:r>
    </w:p>
    <w:tbl>
      <w:tblPr>
        <w:tblW w:w="9866" w:type="dxa"/>
        <w:jc w:val="start"/>
        <w:tblInd w:w="0" w:type="dxa"/>
        <w:tblLayout w:type="fixed"/>
        <w:tblCellMar>
          <w:top w:w="28" w:type="dxa"/>
          <w:start w:w="28" w:type="dxa"/>
          <w:bottom w:w="28" w:type="dxa"/>
          <w:end w:w="28" w:type="dxa"/>
        </w:tblCellMar>
      </w:tblPr>
      <w:tblGrid>
        <w:gridCol w:w="2182"/>
        <w:gridCol w:w="1366"/>
        <w:gridCol w:w="6318"/>
      </w:tblGrid>
      <w:tr>
        <w:trPr>
          <w:tblHeader w:val="true"/>
        </w:trPr>
        <w:tc>
          <w:tcPr>
            <w:tcW w:w="2182" w:type="dxa"/>
            <w:tcBorders/>
            <w:vAlign w:val="center"/>
          </w:tcPr>
          <w:p>
            <w:pPr>
              <w:pStyle w:val="TableHeading"/>
              <w:bidi w:val="0"/>
              <w:spacing w:before="0" w:after="283"/>
              <w:ind w:hanging="0" w:start="0" w:end="0"/>
              <w:jc w:val="start"/>
              <w:rPr/>
            </w:pPr>
            <w:r>
              <w:rPr/>
              <w:t>Elemento</w:t>
            </w:r>
          </w:p>
        </w:tc>
        <w:tc>
          <w:tcPr>
            <w:tcW w:w="1366" w:type="dxa"/>
            <w:tcBorders/>
            <w:vAlign w:val="center"/>
          </w:tcPr>
          <w:p>
            <w:pPr>
              <w:pStyle w:val="TableHeading"/>
              <w:suppressLineNumbers/>
              <w:bidi w:val="0"/>
              <w:spacing w:before="0" w:after="283"/>
              <w:jc w:val="start"/>
              <w:rPr/>
            </w:pPr>
            <w:r>
              <w:rPr/>
              <w:t>Estado</w:t>
            </w:r>
          </w:p>
        </w:tc>
        <w:tc>
          <w:tcPr>
            <w:tcW w:w="6318" w:type="dxa"/>
            <w:tcBorders/>
            <w:vAlign w:val="center"/>
          </w:tcPr>
          <w:p>
            <w:pPr>
              <w:pStyle w:val="TableHeading"/>
              <w:suppressLineNumbers/>
              <w:bidi w:val="0"/>
              <w:spacing w:before="0" w:after="283"/>
              <w:jc w:val="start"/>
              <w:rPr/>
            </w:pPr>
            <w:r>
              <w:rPr/>
              <w:t>Resultado del análisis</w:t>
            </w:r>
          </w:p>
        </w:tc>
      </w:tr>
      <w:tr>
        <w:trPr/>
        <w:tc>
          <w:tcPr>
            <w:tcW w:w="2182" w:type="dxa"/>
            <w:tcBorders/>
            <w:vAlign w:val="center"/>
          </w:tcPr>
          <w:p>
            <w:pPr>
              <w:pStyle w:val="TableContents"/>
              <w:bidi w:val="0"/>
              <w:spacing w:before="0" w:after="283"/>
              <w:ind w:hanging="0" w:start="0" w:end="0"/>
              <w:jc w:val="start"/>
              <w:rPr/>
            </w:pPr>
            <w:r>
              <w:rPr/>
              <w:t>Exportación desde la sección Ingresos</w:t>
            </w:r>
          </w:p>
        </w:tc>
        <w:tc>
          <w:tcPr>
            <w:tcW w:w="1366" w:type="dxa"/>
            <w:tcBorders/>
            <w:vAlign w:val="center"/>
          </w:tcPr>
          <w:p>
            <w:pPr>
              <w:pStyle w:val="TableContents"/>
              <w:bidi w:val="0"/>
              <w:spacing w:before="0" w:after="283"/>
              <w:jc w:val="start"/>
              <w:rPr>
                <w:b/>
                <w:color w:val="16713A"/>
              </w:rPr>
            </w:pPr>
            <w:r>
              <w:rPr>
                <w:b/>
                <w:color w:val="16713A"/>
              </w:rPr>
              <w:t>Existe</w:t>
            </w:r>
          </w:p>
        </w:tc>
        <w:tc>
          <w:tcPr>
            <w:tcW w:w="6318" w:type="dxa"/>
            <w:tcBorders/>
            <w:vAlign w:val="center"/>
          </w:tcPr>
          <w:p>
            <w:pPr>
              <w:pStyle w:val="TableContents"/>
              <w:bidi w:val="0"/>
              <w:spacing w:before="0" w:after="283"/>
              <w:jc w:val="start"/>
              <w:rPr/>
            </w:pPr>
            <w:r>
              <w:rPr/>
              <w:t>Se puede filtrar por fechas, tipo, subcuenta y medio antes de descargar el informe.</w:t>
            </w:r>
          </w:p>
        </w:tc>
      </w:tr>
      <w:tr>
        <w:trPr/>
        <w:tc>
          <w:tcPr>
            <w:tcW w:w="2182" w:type="dxa"/>
            <w:tcBorders/>
            <w:vAlign w:val="center"/>
          </w:tcPr>
          <w:p>
            <w:pPr>
              <w:pStyle w:val="TableContents"/>
              <w:bidi w:val="0"/>
              <w:spacing w:before="0" w:after="283"/>
              <w:ind w:hanging="0" w:start="0" w:end="0"/>
              <w:jc w:val="start"/>
              <w:rPr/>
            </w:pPr>
            <w:r>
              <w:rPr/>
              <w:t>Registro del concepto contable</w:t>
            </w:r>
          </w:p>
        </w:tc>
        <w:tc>
          <w:tcPr>
            <w:tcW w:w="1366" w:type="dxa"/>
            <w:tcBorders/>
            <w:vAlign w:val="center"/>
          </w:tcPr>
          <w:p>
            <w:pPr>
              <w:pStyle w:val="TableContents"/>
              <w:bidi w:val="0"/>
              <w:spacing w:before="0" w:after="283"/>
              <w:jc w:val="start"/>
              <w:rPr>
                <w:b/>
                <w:color w:val="A46700"/>
              </w:rPr>
            </w:pPr>
            <w:r>
              <w:rPr>
                <w:b/>
                <w:color w:val="A46700"/>
              </w:rPr>
              <w:t>Parcial</w:t>
            </w:r>
          </w:p>
        </w:tc>
        <w:tc>
          <w:tcPr>
            <w:tcW w:w="6318" w:type="dxa"/>
            <w:tcBorders/>
            <w:vAlign w:val="center"/>
          </w:tcPr>
          <w:p>
            <w:pPr>
              <w:pStyle w:val="TableContents"/>
              <w:bidi w:val="0"/>
              <w:spacing w:before="0" w:after="283"/>
              <w:jc w:val="start"/>
              <w:rPr/>
            </w:pPr>
            <w:r>
              <w:rPr/>
              <w:t>La tabla de movimientos dispone de los campos subcuenta y glosa, pero la exportación actual no incluye la subcuenta.</w:t>
            </w:r>
          </w:p>
        </w:tc>
      </w:tr>
      <w:tr>
        <w:trPr/>
        <w:tc>
          <w:tcPr>
            <w:tcW w:w="2182" w:type="dxa"/>
            <w:tcBorders/>
            <w:vAlign w:val="center"/>
          </w:tcPr>
          <w:p>
            <w:pPr>
              <w:pStyle w:val="TableContents"/>
              <w:bidi w:val="0"/>
              <w:spacing w:before="0" w:after="283"/>
              <w:ind w:hanging="0" w:start="0" w:end="0"/>
              <w:jc w:val="start"/>
              <w:rPr/>
            </w:pPr>
            <w:r>
              <w:rPr/>
              <w:t>Pagos manuales</w:t>
            </w:r>
          </w:p>
        </w:tc>
        <w:tc>
          <w:tcPr>
            <w:tcW w:w="1366" w:type="dxa"/>
            <w:tcBorders/>
            <w:vAlign w:val="center"/>
          </w:tcPr>
          <w:p>
            <w:pPr>
              <w:pStyle w:val="TableContents"/>
              <w:bidi w:val="0"/>
              <w:spacing w:before="0" w:after="283"/>
              <w:jc w:val="start"/>
              <w:rPr>
                <w:b/>
                <w:color w:val="A46700"/>
              </w:rPr>
            </w:pPr>
            <w:r>
              <w:rPr>
                <w:b/>
                <w:color w:val="A46700"/>
              </w:rPr>
              <w:t>Parcial</w:t>
            </w:r>
          </w:p>
        </w:tc>
        <w:tc>
          <w:tcPr>
            <w:tcW w:w="6318" w:type="dxa"/>
            <w:tcBorders/>
            <w:vAlign w:val="center"/>
          </w:tcPr>
          <w:p>
            <w:pPr>
              <w:pStyle w:val="TableContents"/>
              <w:bidi w:val="0"/>
              <w:spacing w:before="0" w:after="283"/>
              <w:jc w:val="start"/>
              <w:rPr/>
            </w:pPr>
            <w:r>
              <w:rPr/>
              <w:t>Herederan la subcuenta y descripción de la deuda, por lo que es posible obtener matrícula o cuota, pero no se presenta claramente el tipo de socio en el Excel.</w:t>
            </w:r>
          </w:p>
        </w:tc>
      </w:tr>
      <w:tr>
        <w:trPr/>
        <w:tc>
          <w:tcPr>
            <w:tcW w:w="2182" w:type="dxa"/>
            <w:tcBorders/>
            <w:vAlign w:val="center"/>
          </w:tcPr>
          <w:p>
            <w:pPr>
              <w:pStyle w:val="TableContents"/>
              <w:bidi w:val="0"/>
              <w:spacing w:before="0" w:after="283"/>
              <w:ind w:hanging="0" w:start="0" w:end="0"/>
              <w:jc w:val="start"/>
              <w:rPr/>
            </w:pPr>
            <w:r>
              <w:rPr/>
              <w:t>Pagos realizados mediante Flow</w:t>
            </w:r>
          </w:p>
        </w:tc>
        <w:tc>
          <w:tcPr>
            <w:tcW w:w="1366" w:type="dxa"/>
            <w:tcBorders/>
            <w:vAlign w:val="center"/>
          </w:tcPr>
          <w:p>
            <w:pPr>
              <w:pStyle w:val="TableContents"/>
              <w:bidi w:val="0"/>
              <w:spacing w:before="0" w:after="283"/>
              <w:jc w:val="start"/>
              <w:rPr>
                <w:b/>
                <w:color w:val="A22020"/>
              </w:rPr>
            </w:pPr>
            <w:r>
              <w:rPr>
                <w:b/>
                <w:color w:val="A22020"/>
              </w:rPr>
              <w:t>Insuficiente</w:t>
            </w:r>
          </w:p>
        </w:tc>
        <w:tc>
          <w:tcPr>
            <w:tcW w:w="6318" w:type="dxa"/>
            <w:tcBorders/>
            <w:vAlign w:val="center"/>
          </w:tcPr>
          <w:p>
            <w:pPr>
              <w:pStyle w:val="TableContents"/>
              <w:bidi w:val="0"/>
              <w:spacing w:before="0" w:after="283"/>
              <w:jc w:val="start"/>
              <w:rPr/>
            </w:pPr>
            <w:r>
              <w:rPr/>
              <w:t>Un pago que cubre varias deudas se registra en la cuenta maestra como un monto general con la glosa “Pago vía Flow”.</w:t>
            </w:r>
          </w:p>
        </w:tc>
      </w:tr>
      <w:tr>
        <w:trPr/>
        <w:tc>
          <w:tcPr>
            <w:tcW w:w="2182" w:type="dxa"/>
            <w:tcBorders/>
            <w:vAlign w:val="center"/>
          </w:tcPr>
          <w:p>
            <w:pPr>
              <w:pStyle w:val="TableContents"/>
              <w:bidi w:val="0"/>
              <w:spacing w:before="0" w:after="283"/>
              <w:ind w:hanging="0" w:start="0" w:end="0"/>
              <w:jc w:val="start"/>
              <w:rPr/>
            </w:pPr>
            <w:r>
              <w:rPr/>
              <w:t>Profesional versus estudiante</w:t>
            </w:r>
          </w:p>
        </w:tc>
        <w:tc>
          <w:tcPr>
            <w:tcW w:w="1366" w:type="dxa"/>
            <w:tcBorders/>
            <w:vAlign w:val="center"/>
          </w:tcPr>
          <w:p>
            <w:pPr>
              <w:pStyle w:val="TableContents"/>
              <w:bidi w:val="0"/>
              <w:spacing w:before="0" w:after="283"/>
              <w:jc w:val="start"/>
              <w:rPr>
                <w:b/>
                <w:color w:val="A46700"/>
              </w:rPr>
            </w:pPr>
            <w:r>
              <w:rPr>
                <w:b/>
                <w:color w:val="A46700"/>
              </w:rPr>
              <w:t>Recuperable</w:t>
            </w:r>
          </w:p>
        </w:tc>
        <w:tc>
          <w:tcPr>
            <w:tcW w:w="6318" w:type="dxa"/>
            <w:tcBorders/>
            <w:vAlign w:val="center"/>
          </w:tcPr>
          <w:p>
            <w:pPr>
              <w:pStyle w:val="TableContents"/>
              <w:bidi w:val="0"/>
              <w:spacing w:before="0" w:after="283"/>
              <w:jc w:val="start"/>
              <w:rPr/>
            </w:pPr>
            <w:r>
              <w:rPr/>
              <w:t>El tipo de inscripción existe en el perfil y puede asociarse al movimiento mediante el usuario.</w:t>
            </w:r>
          </w:p>
        </w:tc>
      </w:tr>
      <w:tr>
        <w:trPr/>
        <w:tc>
          <w:tcPr>
            <w:tcW w:w="2182" w:type="dxa"/>
            <w:tcBorders/>
            <w:vAlign w:val="center"/>
          </w:tcPr>
          <w:p>
            <w:pPr>
              <w:pStyle w:val="TableContents"/>
              <w:bidi w:val="0"/>
              <w:spacing w:before="0" w:after="283"/>
              <w:ind w:hanging="0" w:start="0" w:end="0"/>
              <w:jc w:val="start"/>
              <w:rPr/>
            </w:pPr>
            <w:r>
              <w:rPr/>
              <w:t>Periodo o mensualidad pagada</w:t>
            </w:r>
          </w:p>
        </w:tc>
        <w:tc>
          <w:tcPr>
            <w:tcW w:w="1366" w:type="dxa"/>
            <w:tcBorders/>
            <w:vAlign w:val="center"/>
          </w:tcPr>
          <w:p>
            <w:pPr>
              <w:pStyle w:val="TableContents"/>
              <w:bidi w:val="0"/>
              <w:spacing w:before="0" w:after="283"/>
              <w:jc w:val="start"/>
              <w:rPr>
                <w:b/>
                <w:color w:val="A46700"/>
              </w:rPr>
            </w:pPr>
            <w:r>
              <w:rPr>
                <w:b/>
                <w:color w:val="A46700"/>
              </w:rPr>
              <w:t>Recuperable</w:t>
            </w:r>
          </w:p>
        </w:tc>
        <w:tc>
          <w:tcPr>
            <w:tcW w:w="6318" w:type="dxa"/>
            <w:tcBorders/>
            <w:vAlign w:val="center"/>
          </w:tcPr>
          <w:p>
            <w:pPr>
              <w:pStyle w:val="TableContents"/>
              <w:bidi w:val="0"/>
              <w:spacing w:before="0" w:after="283"/>
              <w:jc w:val="start"/>
              <w:rPr/>
            </w:pPr>
            <w:r>
              <w:rPr/>
              <w:t>La fecha y glosa se encuentran en las deudas individuales, pero no se incorporan al informe de ingresos.</w:t>
            </w:r>
          </w:p>
        </w:tc>
      </w:tr>
      <w:tr>
        <w:trPr/>
        <w:tc>
          <w:tcPr>
            <w:tcW w:w="2182" w:type="dxa"/>
            <w:tcBorders/>
            <w:vAlign w:val="center"/>
          </w:tcPr>
          <w:p>
            <w:pPr>
              <w:pStyle w:val="TableContents"/>
              <w:bidi w:val="0"/>
              <w:spacing w:before="0" w:after="283"/>
              <w:ind w:hanging="0" w:start="0" w:end="0"/>
              <w:jc w:val="start"/>
              <w:rPr/>
            </w:pPr>
            <w:r>
              <w:rPr/>
              <w:t>Formato del archivo</w:t>
            </w:r>
          </w:p>
        </w:tc>
        <w:tc>
          <w:tcPr>
            <w:tcW w:w="1366" w:type="dxa"/>
            <w:tcBorders/>
            <w:vAlign w:val="center"/>
          </w:tcPr>
          <w:p>
            <w:pPr>
              <w:pStyle w:val="TableContents"/>
              <w:bidi w:val="0"/>
              <w:spacing w:before="0" w:after="283"/>
              <w:jc w:val="start"/>
              <w:rPr>
                <w:b/>
                <w:color w:val="A46700"/>
              </w:rPr>
            </w:pPr>
            <w:r>
              <w:rPr>
                <w:b/>
                <w:color w:val="A46700"/>
              </w:rPr>
              <w:t>Básico</w:t>
            </w:r>
          </w:p>
        </w:tc>
        <w:tc>
          <w:tcPr>
            <w:tcW w:w="6318" w:type="dxa"/>
            <w:tcBorders/>
            <w:vAlign w:val="center"/>
          </w:tcPr>
          <w:p>
            <w:pPr>
              <w:pStyle w:val="TableContents"/>
              <w:bidi w:val="0"/>
              <w:spacing w:before="0" w:after="283"/>
              <w:jc w:val="start"/>
              <w:rPr/>
            </w:pPr>
            <w:r>
              <w:rPr/>
              <w:t>El archivo se genera como texto CSV con extensión .xls. Funciona para descarga, pero no es un libro Excel estructurado.</w:t>
            </w:r>
          </w:p>
        </w:tc>
      </w:tr>
    </w:tbl>
    <w:p>
      <w:pPr>
        <w:pStyle w:val="Heading2"/>
        <w:numPr>
          <w:ilvl w:val="0"/>
          <w:numId w:val="0"/>
        </w:numPr>
        <w:pBdr/>
        <w:bidi w:val="0"/>
        <w:spacing w:before="315" w:after="120"/>
        <w:jc w:val="start"/>
        <w:rPr/>
      </w:pPr>
      <w:r>
        <w:rPr/>
        <w:t>Desglose propuesto</w:t>
      </w:r>
    </w:p>
    <w:p>
      <w:pPr>
        <w:pStyle w:val="BodyText"/>
        <w:bidi w:val="0"/>
        <w:spacing w:before="0" w:after="283"/>
        <w:jc w:val="start"/>
        <w:rPr/>
      </w:pPr>
      <w:r>
        <w:rPr/>
        <w:t>El informe incorporará, como mínimo, las siguientes columnas:</w:t>
      </w:r>
    </w:p>
    <w:p>
      <w:pPr>
        <w:pStyle w:val="BodyText"/>
        <w:numPr>
          <w:ilvl w:val="0"/>
          <w:numId w:val="2"/>
        </w:numPr>
        <w:tabs>
          <w:tab w:val="clear" w:pos="1134"/>
          <w:tab w:val="left" w:pos="709" w:leader="none"/>
        </w:tabs>
        <w:bidi w:val="0"/>
        <w:spacing w:before="0" w:after="0"/>
        <w:ind w:hanging="283" w:start="709"/>
        <w:jc w:val="start"/>
        <w:rPr/>
      </w:pPr>
      <w:r>
        <w:rPr/>
        <w:t xml:space="preserve">ID del movimiento y fecha del pago. </w:t>
      </w:r>
    </w:p>
    <w:p>
      <w:pPr>
        <w:pStyle w:val="BodyText"/>
        <w:numPr>
          <w:ilvl w:val="0"/>
          <w:numId w:val="2"/>
        </w:numPr>
        <w:tabs>
          <w:tab w:val="clear" w:pos="1134"/>
          <w:tab w:val="left" w:pos="709" w:leader="none"/>
        </w:tabs>
        <w:bidi w:val="0"/>
        <w:spacing w:before="0" w:after="0"/>
        <w:ind w:hanging="283" w:start="709"/>
        <w:jc w:val="start"/>
        <w:rPr/>
      </w:pPr>
      <w:r>
        <w:rPr/>
        <w:t xml:space="preserve">Nombre del socio y medio de pago. </w:t>
      </w:r>
    </w:p>
    <w:p>
      <w:pPr>
        <w:pStyle w:val="BodyText"/>
        <w:numPr>
          <w:ilvl w:val="0"/>
          <w:numId w:val="2"/>
        </w:numPr>
        <w:tabs>
          <w:tab w:val="clear" w:pos="1134"/>
          <w:tab w:val="left" w:pos="709" w:leader="none"/>
        </w:tabs>
        <w:bidi w:val="0"/>
        <w:spacing w:before="0" w:after="0"/>
        <w:ind w:hanging="283" w:start="709"/>
        <w:jc w:val="start"/>
        <w:rPr/>
      </w:pPr>
      <w:r>
        <w:rPr/>
        <w:t xml:space="preserve">Concepto: matrícula, mensualidad u otro ingreso. </w:t>
      </w:r>
    </w:p>
    <w:p>
      <w:pPr>
        <w:pStyle w:val="BodyText"/>
        <w:numPr>
          <w:ilvl w:val="0"/>
          <w:numId w:val="2"/>
        </w:numPr>
        <w:tabs>
          <w:tab w:val="clear" w:pos="1134"/>
          <w:tab w:val="left" w:pos="709" w:leader="none"/>
        </w:tabs>
        <w:bidi w:val="0"/>
        <w:spacing w:before="0" w:after="0"/>
        <w:ind w:hanging="283" w:start="709"/>
        <w:jc w:val="start"/>
        <w:rPr/>
      </w:pPr>
      <w:r>
        <w:rPr/>
        <w:t xml:space="preserve">Tipo de socio: profesional o estudiante. </w:t>
      </w:r>
    </w:p>
    <w:p>
      <w:pPr>
        <w:pStyle w:val="BodyText"/>
        <w:numPr>
          <w:ilvl w:val="0"/>
          <w:numId w:val="2"/>
        </w:numPr>
        <w:tabs>
          <w:tab w:val="clear" w:pos="1134"/>
          <w:tab w:val="left" w:pos="709" w:leader="none"/>
        </w:tabs>
        <w:bidi w:val="0"/>
        <w:spacing w:before="0" w:after="0"/>
        <w:ind w:hanging="283" w:start="709"/>
        <w:jc w:val="start"/>
        <w:rPr/>
      </w:pPr>
      <w:r>
        <w:rPr/>
        <w:t xml:space="preserve">Periodo pagado: mes y año, cuando corresponda. </w:t>
      </w:r>
    </w:p>
    <w:p>
      <w:pPr>
        <w:pStyle w:val="BodyText"/>
        <w:numPr>
          <w:ilvl w:val="0"/>
          <w:numId w:val="2"/>
        </w:numPr>
        <w:tabs>
          <w:tab w:val="clear" w:pos="1134"/>
          <w:tab w:val="left" w:pos="709" w:leader="none"/>
        </w:tabs>
        <w:bidi w:val="0"/>
        <w:spacing w:before="0" w:after="0"/>
        <w:ind w:hanging="283" w:start="709"/>
        <w:jc w:val="start"/>
        <w:rPr/>
      </w:pPr>
      <w:r>
        <w:rPr/>
        <w:t xml:space="preserve">Monto correspondiente a cada concepto. </w:t>
      </w:r>
    </w:p>
    <w:p>
      <w:pPr>
        <w:pStyle w:val="BodyText"/>
        <w:numPr>
          <w:ilvl w:val="0"/>
          <w:numId w:val="2"/>
        </w:numPr>
        <w:tabs>
          <w:tab w:val="clear" w:pos="1134"/>
          <w:tab w:val="left" w:pos="709" w:leader="none"/>
        </w:tabs>
        <w:bidi w:val="0"/>
        <w:spacing w:before="0" w:after="0"/>
        <w:ind w:hanging="283" w:start="709"/>
        <w:jc w:val="start"/>
        <w:rPr/>
      </w:pPr>
      <w:r>
        <w:rPr/>
        <w:t xml:space="preserve">Total de la transacción e identificador de Flow o respaldo manual. </w:t>
      </w:r>
    </w:p>
    <w:p>
      <w:pPr>
        <w:pStyle w:val="BodyText"/>
        <w:numPr>
          <w:ilvl w:val="0"/>
          <w:numId w:val="2"/>
        </w:numPr>
        <w:tabs>
          <w:tab w:val="clear" w:pos="1134"/>
          <w:tab w:val="left" w:pos="709" w:leader="none"/>
        </w:tabs>
        <w:bidi w:val="0"/>
        <w:ind w:hanging="283" w:start="709"/>
        <w:jc w:val="start"/>
        <w:rPr/>
      </w:pPr>
      <w:r>
        <w:rPr/>
        <w:t xml:space="preserve">Estado, observación y documento de respaldo. </w:t>
      </w:r>
    </w:p>
    <w:p>
      <w:pPr>
        <w:pStyle w:val="BodyText"/>
        <w:bidi w:val="0"/>
        <w:spacing w:before="0" w:after="283"/>
        <w:jc w:val="start"/>
        <w:rPr/>
      </w:pPr>
      <w:r>
        <w:rPr/>
        <w:t>Cuando una transacción cubra varias mensualidades, podrá representarse en varias filas de detalle relacionadas por el mismo identificador de pago. La suma de esas filas deberá coincidir con el total efectivamente recibido.</w:t>
      </w:r>
    </w:p>
    <w:p>
      <w:pPr>
        <w:pStyle w:val="Heading2"/>
        <w:numPr>
          <w:ilvl w:val="0"/>
          <w:numId w:val="0"/>
        </w:numPr>
        <w:pBdr/>
        <w:bidi w:val="0"/>
        <w:spacing w:before="315" w:after="120"/>
        <w:jc w:val="start"/>
        <w:rPr/>
      </w:pPr>
      <w:r>
        <w:rPr/>
        <w:t>Desarrollo considerado</w:t>
      </w:r>
    </w:p>
    <w:p>
      <w:pPr>
        <w:pStyle w:val="BodyText"/>
        <w:numPr>
          <w:ilvl w:val="0"/>
          <w:numId w:val="3"/>
        </w:numPr>
        <w:tabs>
          <w:tab w:val="clear" w:pos="1134"/>
          <w:tab w:val="left" w:pos="709" w:leader="none"/>
        </w:tabs>
        <w:bidi w:val="0"/>
        <w:spacing w:before="0" w:after="0"/>
        <w:ind w:hanging="283" w:start="709"/>
        <w:jc w:val="start"/>
        <w:rPr/>
      </w:pPr>
      <w:r>
        <w:rPr/>
        <w:t xml:space="preserve">Definir una clasificación única para matrícula, mensualidad profesional, mensualidad estudiante y otros ingresos. </w:t>
      </w:r>
    </w:p>
    <w:p>
      <w:pPr>
        <w:pStyle w:val="BodyText"/>
        <w:numPr>
          <w:ilvl w:val="0"/>
          <w:numId w:val="3"/>
        </w:numPr>
        <w:tabs>
          <w:tab w:val="clear" w:pos="1134"/>
          <w:tab w:val="left" w:pos="709" w:leader="none"/>
        </w:tabs>
        <w:bidi w:val="0"/>
        <w:spacing w:before="0" w:after="0"/>
        <w:ind w:hanging="283" w:start="709"/>
        <w:jc w:val="start"/>
        <w:rPr/>
      </w:pPr>
      <w:r>
        <w:rPr/>
        <w:t xml:space="preserve">Relacionar movimientos con usuario, perfil, deuda y transacción Flow. </w:t>
      </w:r>
    </w:p>
    <w:p>
      <w:pPr>
        <w:pStyle w:val="BodyText"/>
        <w:numPr>
          <w:ilvl w:val="0"/>
          <w:numId w:val="3"/>
        </w:numPr>
        <w:tabs>
          <w:tab w:val="clear" w:pos="1134"/>
          <w:tab w:val="left" w:pos="709" w:leader="none"/>
        </w:tabs>
        <w:bidi w:val="0"/>
        <w:spacing w:before="0" w:after="0"/>
        <w:ind w:hanging="283" w:start="709"/>
        <w:jc w:val="start"/>
        <w:rPr/>
      </w:pPr>
      <w:r>
        <w:rPr/>
        <w:t xml:space="preserve">Modificar la confirmación de Flow para registrar el detalle de los conceptos cubiertos por cada pago futuro. </w:t>
      </w:r>
    </w:p>
    <w:p>
      <w:pPr>
        <w:pStyle w:val="BodyText"/>
        <w:numPr>
          <w:ilvl w:val="0"/>
          <w:numId w:val="3"/>
        </w:numPr>
        <w:tabs>
          <w:tab w:val="clear" w:pos="1134"/>
          <w:tab w:val="left" w:pos="709" w:leader="none"/>
        </w:tabs>
        <w:bidi w:val="0"/>
        <w:spacing w:before="0" w:after="0"/>
        <w:ind w:hanging="283" w:start="709"/>
        <w:jc w:val="start"/>
        <w:rPr/>
      </w:pPr>
      <w:r>
        <w:rPr/>
        <w:t xml:space="preserve">Conservar correctamente el concepto en los pagos registrados manualmente. </w:t>
      </w:r>
    </w:p>
    <w:p>
      <w:pPr>
        <w:pStyle w:val="BodyText"/>
        <w:numPr>
          <w:ilvl w:val="0"/>
          <w:numId w:val="3"/>
        </w:numPr>
        <w:tabs>
          <w:tab w:val="clear" w:pos="1134"/>
          <w:tab w:val="left" w:pos="709" w:leader="none"/>
        </w:tabs>
        <w:bidi w:val="0"/>
        <w:spacing w:before="0" w:after="0"/>
        <w:ind w:hanging="283" w:start="709"/>
        <w:jc w:val="start"/>
        <w:rPr/>
      </w:pPr>
      <w:r>
        <w:rPr/>
        <w:t xml:space="preserve">Reconstruir los pagos históricos utilizando las relaciones disponibles. </w:t>
      </w:r>
    </w:p>
    <w:p>
      <w:pPr>
        <w:pStyle w:val="BodyText"/>
        <w:numPr>
          <w:ilvl w:val="0"/>
          <w:numId w:val="3"/>
        </w:numPr>
        <w:tabs>
          <w:tab w:val="clear" w:pos="1134"/>
          <w:tab w:val="left" w:pos="709" w:leader="none"/>
        </w:tabs>
        <w:bidi w:val="0"/>
        <w:spacing w:before="0" w:after="0"/>
        <w:ind w:hanging="283" w:start="709"/>
        <w:jc w:val="start"/>
        <w:rPr/>
      </w:pPr>
      <w:r>
        <w:rPr/>
        <w:t xml:space="preserve">Agregar las nuevas columnas, subtotales y total general al informe. </w:t>
      </w:r>
    </w:p>
    <w:p>
      <w:pPr>
        <w:pStyle w:val="BodyText"/>
        <w:numPr>
          <w:ilvl w:val="0"/>
          <w:numId w:val="3"/>
        </w:numPr>
        <w:tabs>
          <w:tab w:val="clear" w:pos="1134"/>
          <w:tab w:val="left" w:pos="709" w:leader="none"/>
        </w:tabs>
        <w:bidi w:val="0"/>
        <w:spacing w:before="0" w:after="0"/>
        <w:ind w:hanging="283" w:start="709"/>
        <w:jc w:val="start"/>
        <w:rPr/>
      </w:pPr>
      <w:r>
        <w:rPr/>
        <w:t xml:space="preserve">Permitir filtros por concepto y tipo de socio. </w:t>
      </w:r>
    </w:p>
    <w:p>
      <w:pPr>
        <w:pStyle w:val="BodyText"/>
        <w:numPr>
          <w:ilvl w:val="0"/>
          <w:numId w:val="3"/>
        </w:numPr>
        <w:tabs>
          <w:tab w:val="clear" w:pos="1134"/>
          <w:tab w:val="left" w:pos="709" w:leader="none"/>
        </w:tabs>
        <w:bidi w:val="0"/>
        <w:spacing w:before="0" w:after="0"/>
        <w:ind w:hanging="283" w:start="709"/>
        <w:jc w:val="start"/>
        <w:rPr/>
      </w:pPr>
      <w:r>
        <w:rPr/>
        <w:t xml:space="preserve">Validar que el detalle conciliado sea igual al monto del movimiento. </w:t>
      </w:r>
    </w:p>
    <w:p>
      <w:pPr>
        <w:pStyle w:val="BodyText"/>
        <w:numPr>
          <w:ilvl w:val="0"/>
          <w:numId w:val="3"/>
        </w:numPr>
        <w:tabs>
          <w:tab w:val="clear" w:pos="1134"/>
          <w:tab w:val="left" w:pos="709" w:leader="none"/>
        </w:tabs>
        <w:bidi w:val="0"/>
        <w:ind w:hanging="283" w:start="709"/>
        <w:jc w:val="start"/>
        <w:rPr/>
      </w:pPr>
      <w:r>
        <w:rPr/>
        <w:t xml:space="preserve">Probar pagos individuales, múltiples, semestrales, anuales, matrícula y pagos manuales en staging. </w:t>
      </w:r>
    </w:p>
    <w:p>
      <w:pPr>
        <w:pStyle w:val="BodyText"/>
        <w:bidi w:val="0"/>
        <w:ind w:hanging="0" w:start="0" w:end="0"/>
        <w:jc w:val="start"/>
        <w:rPr/>
      </w:pPr>
      <w:r>
        <w:rPr>
          <w:rStyle w:val="Strong"/>
          <w:bdr w:val="single" w:sz="30" w:space="11" w:color="E5A100"/>
          <w:shd w:fill="FFF8E6" w:val="clear"/>
        </w:rPr>
        <w:t>Consideración histórica:</w:t>
      </w:r>
      <w:r>
        <w:rPr>
          <w:bdr w:val="single" w:sz="30" w:space="11" w:color="E5A100"/>
          <w:shd w:fill="FFF8E6" w:val="clear"/>
        </w:rPr>
        <w:t xml:space="preserve"> los movimientos antiguos podrán desglosarse cuando mantengan una relación válida con deudas, usuario o transacción Flow. Si algún registro histórico solo conserva el monto y una glosa general, se identificará como “sin detalle histórico disponible” para no inventar información contable. </w:t>
      </w:r>
    </w:p>
    <w:p>
      <w:pPr>
        <w:pStyle w:val="Heading2"/>
        <w:numPr>
          <w:ilvl w:val="0"/>
          <w:numId w:val="0"/>
        </w:numPr>
        <w:pBdr/>
        <w:bidi w:val="0"/>
        <w:spacing w:before="315" w:after="120"/>
        <w:jc w:val="start"/>
        <w:rPr/>
      </w:pPr>
      <w:r>
        <w:rPr/>
        <w:t>Estimación integral</w:t>
      </w:r>
    </w:p>
    <w:tbl>
      <w:tblPr>
        <w:tblW w:w="6569" w:type="dxa"/>
        <w:jc w:val="start"/>
        <w:tblInd w:w="0" w:type="dxa"/>
        <w:tblLayout w:type="fixed"/>
        <w:tblCellMar>
          <w:top w:w="28" w:type="dxa"/>
          <w:start w:w="28" w:type="dxa"/>
          <w:bottom w:w="28" w:type="dxa"/>
          <w:end w:w="28" w:type="dxa"/>
        </w:tblCellMar>
      </w:tblPr>
      <w:tblGrid>
        <w:gridCol w:w="5544"/>
        <w:gridCol w:w="1025"/>
      </w:tblGrid>
      <w:tr>
        <w:trPr>
          <w:tblHeader w:val="true"/>
        </w:trPr>
        <w:tc>
          <w:tcPr>
            <w:tcW w:w="5544" w:type="dxa"/>
            <w:tcBorders/>
            <w:vAlign w:val="center"/>
          </w:tcPr>
          <w:p>
            <w:pPr>
              <w:pStyle w:val="TableHeading"/>
              <w:bidi w:val="0"/>
              <w:spacing w:before="0" w:after="283"/>
              <w:ind w:hanging="0" w:start="0" w:end="0"/>
              <w:jc w:val="start"/>
              <w:rPr/>
            </w:pPr>
            <w:r>
              <w:rPr/>
              <w:t>Actividad</w:t>
            </w:r>
          </w:p>
        </w:tc>
        <w:tc>
          <w:tcPr>
            <w:tcW w:w="1025" w:type="dxa"/>
            <w:tcBorders/>
            <w:vAlign w:val="center"/>
          </w:tcPr>
          <w:p>
            <w:pPr>
              <w:pStyle w:val="TableHeading"/>
              <w:bidi w:val="0"/>
              <w:spacing w:before="0" w:after="283"/>
              <w:jc w:val="end"/>
              <w:rPr/>
            </w:pPr>
            <w:r>
              <w:rPr/>
              <w:t>Horas</w:t>
            </w:r>
          </w:p>
        </w:tc>
      </w:tr>
      <w:tr>
        <w:trPr/>
        <w:tc>
          <w:tcPr>
            <w:tcW w:w="5544" w:type="dxa"/>
            <w:tcBorders/>
            <w:vAlign w:val="center"/>
          </w:tcPr>
          <w:p>
            <w:pPr>
              <w:pStyle w:val="TableContents"/>
              <w:bidi w:val="0"/>
              <w:spacing w:before="0" w:after="283"/>
              <w:jc w:val="start"/>
              <w:rPr/>
            </w:pPr>
            <w:r>
              <w:rPr/>
              <w:t>Análisis y definición de conceptos contables</w:t>
            </w:r>
          </w:p>
        </w:tc>
        <w:tc>
          <w:tcPr>
            <w:tcW w:w="1025" w:type="dxa"/>
            <w:tcBorders/>
            <w:vAlign w:val="center"/>
          </w:tcPr>
          <w:p>
            <w:pPr>
              <w:pStyle w:val="TableContents"/>
              <w:bidi w:val="0"/>
              <w:spacing w:before="0" w:after="283"/>
              <w:jc w:val="start"/>
              <w:rPr/>
            </w:pPr>
            <w:r>
              <w:rPr/>
              <w:t>1,0</w:t>
            </w:r>
          </w:p>
        </w:tc>
      </w:tr>
      <w:tr>
        <w:trPr/>
        <w:tc>
          <w:tcPr>
            <w:tcW w:w="5544" w:type="dxa"/>
            <w:tcBorders/>
            <w:vAlign w:val="center"/>
          </w:tcPr>
          <w:p>
            <w:pPr>
              <w:pStyle w:val="TableContents"/>
              <w:bidi w:val="0"/>
              <w:spacing w:before="0" w:after="283"/>
              <w:jc w:val="start"/>
              <w:rPr/>
            </w:pPr>
            <w:r>
              <w:rPr/>
              <w:t>Modelo de detalle y relación con deudas, perfiles y Flow</w:t>
            </w:r>
          </w:p>
        </w:tc>
        <w:tc>
          <w:tcPr>
            <w:tcW w:w="1025" w:type="dxa"/>
            <w:tcBorders/>
            <w:vAlign w:val="center"/>
          </w:tcPr>
          <w:p>
            <w:pPr>
              <w:pStyle w:val="TableContents"/>
              <w:bidi w:val="0"/>
              <w:spacing w:before="0" w:after="283"/>
              <w:jc w:val="start"/>
              <w:rPr/>
            </w:pPr>
            <w:r>
              <w:rPr/>
              <w:t>1,5</w:t>
            </w:r>
          </w:p>
        </w:tc>
      </w:tr>
      <w:tr>
        <w:trPr/>
        <w:tc>
          <w:tcPr>
            <w:tcW w:w="5544" w:type="dxa"/>
            <w:tcBorders/>
            <w:vAlign w:val="center"/>
          </w:tcPr>
          <w:p>
            <w:pPr>
              <w:pStyle w:val="TableContents"/>
              <w:bidi w:val="0"/>
              <w:spacing w:before="0" w:after="283"/>
              <w:jc w:val="start"/>
              <w:rPr/>
            </w:pPr>
            <w:r>
              <w:rPr/>
              <w:t>Ajuste del registro de pagos futuros manuales y Flow</w:t>
            </w:r>
          </w:p>
        </w:tc>
        <w:tc>
          <w:tcPr>
            <w:tcW w:w="1025" w:type="dxa"/>
            <w:tcBorders/>
            <w:vAlign w:val="center"/>
          </w:tcPr>
          <w:p>
            <w:pPr>
              <w:pStyle w:val="TableContents"/>
              <w:bidi w:val="0"/>
              <w:spacing w:before="0" w:after="283"/>
              <w:jc w:val="start"/>
              <w:rPr/>
            </w:pPr>
            <w:r>
              <w:rPr/>
              <w:t>1,5</w:t>
            </w:r>
          </w:p>
        </w:tc>
      </w:tr>
      <w:tr>
        <w:trPr/>
        <w:tc>
          <w:tcPr>
            <w:tcW w:w="5544" w:type="dxa"/>
            <w:tcBorders/>
            <w:vAlign w:val="center"/>
          </w:tcPr>
          <w:p>
            <w:pPr>
              <w:pStyle w:val="TableContents"/>
              <w:bidi w:val="0"/>
              <w:spacing w:before="0" w:after="283"/>
              <w:jc w:val="start"/>
              <w:rPr/>
            </w:pPr>
            <w:r>
              <w:rPr/>
              <w:t>Reconstrucción segura de información histórica disponible</w:t>
            </w:r>
          </w:p>
        </w:tc>
        <w:tc>
          <w:tcPr>
            <w:tcW w:w="1025" w:type="dxa"/>
            <w:tcBorders/>
            <w:vAlign w:val="center"/>
          </w:tcPr>
          <w:p>
            <w:pPr>
              <w:pStyle w:val="TableContents"/>
              <w:bidi w:val="0"/>
              <w:spacing w:before="0" w:after="283"/>
              <w:jc w:val="start"/>
              <w:rPr/>
            </w:pPr>
            <w:r>
              <w:rPr/>
              <w:t>1,0</w:t>
            </w:r>
          </w:p>
        </w:tc>
      </w:tr>
      <w:tr>
        <w:trPr/>
        <w:tc>
          <w:tcPr>
            <w:tcW w:w="5544" w:type="dxa"/>
            <w:tcBorders/>
            <w:vAlign w:val="center"/>
          </w:tcPr>
          <w:p>
            <w:pPr>
              <w:pStyle w:val="TableContents"/>
              <w:bidi w:val="0"/>
              <w:spacing w:before="0" w:after="283"/>
              <w:jc w:val="start"/>
              <w:rPr/>
            </w:pPr>
            <w:r>
              <w:rPr/>
              <w:t>Mejora del Excel, columnas, filtros y totales</w:t>
            </w:r>
          </w:p>
        </w:tc>
        <w:tc>
          <w:tcPr>
            <w:tcW w:w="1025" w:type="dxa"/>
            <w:tcBorders/>
            <w:vAlign w:val="center"/>
          </w:tcPr>
          <w:p>
            <w:pPr>
              <w:pStyle w:val="TableContents"/>
              <w:bidi w:val="0"/>
              <w:spacing w:before="0" w:after="283"/>
              <w:jc w:val="start"/>
              <w:rPr/>
            </w:pPr>
            <w:r>
              <w:rPr/>
              <w:t>1,5</w:t>
            </w:r>
          </w:p>
        </w:tc>
      </w:tr>
      <w:tr>
        <w:trPr/>
        <w:tc>
          <w:tcPr>
            <w:tcW w:w="5544" w:type="dxa"/>
            <w:tcBorders/>
            <w:vAlign w:val="center"/>
          </w:tcPr>
          <w:p>
            <w:pPr>
              <w:pStyle w:val="TableContents"/>
              <w:bidi w:val="0"/>
              <w:spacing w:before="0" w:after="283"/>
              <w:jc w:val="start"/>
              <w:rPr/>
            </w:pPr>
            <w:r>
              <w:rPr/>
              <w:t>Pruebas de conciliación en staging y publicación</w:t>
            </w:r>
          </w:p>
        </w:tc>
        <w:tc>
          <w:tcPr>
            <w:tcW w:w="1025" w:type="dxa"/>
            <w:tcBorders/>
            <w:vAlign w:val="center"/>
          </w:tcPr>
          <w:p>
            <w:pPr>
              <w:pStyle w:val="TableContents"/>
              <w:bidi w:val="0"/>
              <w:spacing w:before="0" w:after="283"/>
              <w:jc w:val="start"/>
              <w:rPr/>
            </w:pPr>
            <w:r>
              <w:rPr/>
              <w:t>1,5</w:t>
            </w:r>
          </w:p>
        </w:tc>
      </w:tr>
      <w:tr>
        <w:trPr/>
        <w:tc>
          <w:tcPr>
            <w:tcW w:w="5544" w:type="dxa"/>
            <w:tcBorders/>
            <w:vAlign w:val="center"/>
          </w:tcPr>
          <w:p>
            <w:pPr>
              <w:pStyle w:val="TableContents"/>
              <w:bidi w:val="0"/>
              <w:spacing w:before="0" w:after="283"/>
              <w:jc w:val="start"/>
              <w:rPr/>
            </w:pPr>
            <w:r>
              <w:rPr/>
              <w:t>Total estimado de la solicitud completa</w:t>
            </w:r>
          </w:p>
        </w:tc>
        <w:tc>
          <w:tcPr>
            <w:tcW w:w="1025" w:type="dxa"/>
            <w:tcBorders/>
            <w:vAlign w:val="center"/>
          </w:tcPr>
          <w:p>
            <w:pPr>
              <w:pStyle w:val="TableContents"/>
              <w:bidi w:val="0"/>
              <w:spacing w:before="0" w:after="283"/>
              <w:jc w:val="start"/>
              <w:rPr/>
            </w:pPr>
            <w:r>
              <w:rPr/>
              <w:t>8,0 horas</w:t>
            </w:r>
          </w:p>
        </w:tc>
      </w:tr>
    </w:tbl>
    <w:p>
      <w:pPr>
        <w:pStyle w:val="Heading2"/>
        <w:numPr>
          <w:ilvl w:val="0"/>
          <w:numId w:val="0"/>
        </w:numPr>
        <w:pBdr/>
        <w:bidi w:val="0"/>
        <w:spacing w:before="315" w:after="120"/>
        <w:jc w:val="start"/>
        <w:rPr/>
      </w:pPr>
      <w:r>
        <w:rPr/>
        <w:t>Valorización</w:t>
      </w:r>
    </w:p>
    <w:tbl>
      <w:tblPr>
        <w:tblW w:w="4423" w:type="dxa"/>
        <w:jc w:val="start"/>
        <w:tblInd w:w="0" w:type="dxa"/>
        <w:tblLayout w:type="fixed"/>
        <w:tblCellMar>
          <w:top w:w="28" w:type="dxa"/>
          <w:start w:w="28" w:type="dxa"/>
          <w:bottom w:w="28" w:type="dxa"/>
          <w:end w:w="28" w:type="dxa"/>
        </w:tblCellMar>
      </w:tblPr>
      <w:tblGrid>
        <w:gridCol w:w="2569"/>
        <w:gridCol w:w="1854"/>
      </w:tblGrid>
      <w:tr>
        <w:trPr/>
        <w:tc>
          <w:tcPr>
            <w:tcW w:w="2569" w:type="dxa"/>
            <w:tcBorders/>
            <w:vAlign w:val="center"/>
          </w:tcPr>
          <w:p>
            <w:pPr>
              <w:pStyle w:val="TableContents"/>
              <w:bidi w:val="0"/>
              <w:spacing w:before="0" w:after="283"/>
              <w:jc w:val="start"/>
              <w:rPr/>
            </w:pPr>
            <w:r>
              <w:rPr/>
              <w:t>Tarifa desarrollador senior</w:t>
            </w:r>
          </w:p>
        </w:tc>
        <w:tc>
          <w:tcPr>
            <w:tcW w:w="1854" w:type="dxa"/>
            <w:tcBorders/>
            <w:vAlign w:val="center"/>
          </w:tcPr>
          <w:p>
            <w:pPr>
              <w:pStyle w:val="TableContents"/>
              <w:bidi w:val="0"/>
              <w:spacing w:before="0" w:after="283"/>
              <w:jc w:val="start"/>
              <w:rPr/>
            </w:pPr>
            <w:r>
              <w:rPr/>
              <w:t>$40.000 CLP/hora</w:t>
            </w:r>
          </w:p>
        </w:tc>
      </w:tr>
      <w:tr>
        <w:trPr/>
        <w:tc>
          <w:tcPr>
            <w:tcW w:w="2569" w:type="dxa"/>
            <w:tcBorders/>
            <w:vAlign w:val="center"/>
          </w:tcPr>
          <w:p>
            <w:pPr>
              <w:pStyle w:val="TableContents"/>
              <w:bidi w:val="0"/>
              <w:spacing w:before="0" w:after="283"/>
              <w:jc w:val="start"/>
              <w:rPr/>
            </w:pPr>
            <w:r>
              <w:rPr/>
              <w:t>Valor neto</w:t>
            </w:r>
          </w:p>
        </w:tc>
        <w:tc>
          <w:tcPr>
            <w:tcW w:w="1854" w:type="dxa"/>
            <w:tcBorders/>
            <w:vAlign w:val="center"/>
          </w:tcPr>
          <w:p>
            <w:pPr>
              <w:pStyle w:val="TableContents"/>
              <w:bidi w:val="0"/>
              <w:spacing w:before="0" w:after="283"/>
              <w:jc w:val="start"/>
              <w:rPr/>
            </w:pPr>
            <w:r>
              <w:rPr/>
              <w:t>$320.000 CLP</w:t>
            </w:r>
          </w:p>
        </w:tc>
      </w:tr>
      <w:tr>
        <w:trPr/>
        <w:tc>
          <w:tcPr>
            <w:tcW w:w="2569" w:type="dxa"/>
            <w:tcBorders/>
            <w:vAlign w:val="center"/>
          </w:tcPr>
          <w:p>
            <w:pPr>
              <w:pStyle w:val="TableContents"/>
              <w:bidi w:val="0"/>
              <w:spacing w:before="0" w:after="283"/>
              <w:jc w:val="start"/>
              <w:rPr/>
            </w:pPr>
            <w:r>
              <w:rPr/>
              <w:t>IVA (19 %)</w:t>
            </w:r>
          </w:p>
        </w:tc>
        <w:tc>
          <w:tcPr>
            <w:tcW w:w="1854" w:type="dxa"/>
            <w:tcBorders/>
            <w:vAlign w:val="center"/>
          </w:tcPr>
          <w:p>
            <w:pPr>
              <w:pStyle w:val="TableContents"/>
              <w:bidi w:val="0"/>
              <w:spacing w:before="0" w:after="283"/>
              <w:jc w:val="start"/>
              <w:rPr/>
            </w:pPr>
            <w:r>
              <w:rPr/>
              <w:t>$60.800 CLP</w:t>
            </w:r>
          </w:p>
        </w:tc>
      </w:tr>
      <w:tr>
        <w:trPr/>
        <w:tc>
          <w:tcPr>
            <w:tcW w:w="2569" w:type="dxa"/>
            <w:tcBorders/>
            <w:vAlign w:val="center"/>
          </w:tcPr>
          <w:p>
            <w:pPr>
              <w:pStyle w:val="TableContents"/>
              <w:bidi w:val="0"/>
              <w:spacing w:before="0" w:after="283"/>
              <w:jc w:val="start"/>
              <w:rPr/>
            </w:pPr>
            <w:r>
              <w:rPr/>
              <w:t>Total con IVA</w:t>
            </w:r>
          </w:p>
        </w:tc>
        <w:tc>
          <w:tcPr>
            <w:tcW w:w="1854" w:type="dxa"/>
            <w:tcBorders/>
            <w:vAlign w:val="center"/>
          </w:tcPr>
          <w:p>
            <w:pPr>
              <w:pStyle w:val="TableContents"/>
              <w:bidi w:val="0"/>
              <w:spacing w:before="0" w:after="283"/>
              <w:jc w:val="start"/>
              <w:rPr/>
            </w:pPr>
            <w:r>
              <w:rPr/>
              <w:t>$380.800 CLP</w:t>
            </w:r>
          </w:p>
        </w:tc>
      </w:tr>
    </w:tbl>
    <w:p>
      <w:pPr>
        <w:pStyle w:val="BodyTextnota"/>
        <w:bidi w:val="0"/>
        <w:jc w:val="start"/>
        <w:rPr/>
      </w:pPr>
      <w:r>
        <w:rPr/>
        <w:t>La valorización contempla la mejora completa del registro y del informe, no solamente agregar una columna al archivo. Considera desarrollo PHP/MySQL, migración no destructiva, validación en staging y publicación posterior a la aprobación.</w:t>
      </w:r>
    </w:p>
    <w:p>
      <w:pPr>
        <w:pStyle w:val="Heading2"/>
        <w:numPr>
          <w:ilvl w:val="0"/>
          <w:numId w:val="0"/>
        </w:numPr>
        <w:pBdr/>
        <w:bidi w:val="0"/>
        <w:spacing w:before="315" w:after="120"/>
        <w:jc w:val="start"/>
        <w:rPr/>
      </w:pPr>
      <w:r>
        <w:rPr/>
        <w:t>Detalle para registrar en la Intranet</w:t>
      </w:r>
    </w:p>
    <w:p>
      <w:pPr>
        <w:pStyle w:val="BodyText"/>
        <w:bidi w:val="0"/>
        <w:spacing w:before="0" w:after="0"/>
        <w:ind w:hanging="0" w:start="0" w:end="0"/>
        <w:jc w:val="start"/>
        <w:rPr/>
      </w:pPr>
      <w:r>
        <w:rPr>
          <w:shd w:fill="FAFAFA" w:val="clear"/>
        </w:rPr>
        <w:t>Mejora integral de los archivos Excel de ingresos para identificar el concepto de cada pago: matrícula, mensualidad profesional, mensualidad estudiante u otros ingresos; incluyendo socio, periodo, medio de pago, monto por concepto y total de transacción. Se actualizará el registro de pagos manuales y Flow, se recuperará el detalle histórico disponible, se incorporarán filtros y se validará la conciliación de los montos.</w:t>
        <w:br/>
        <w:br/>
      </w:r>
      <w:r>
        <w:rPr>
          <w:rStyle w:val="Strong"/>
          <w:shd w:fill="FAFAFA" w:val="clear"/>
        </w:rPr>
        <w:t>Tiempo estimado total:</w:t>
      </w:r>
      <w:r>
        <w:rPr>
          <w:shd w:fill="FAFAFA" w:val="clear"/>
        </w:rPr>
        <w:t xml:space="preserve"> 8 horas.</w:t>
        <w:br/>
      </w:r>
      <w:r>
        <w:rPr>
          <w:rStyle w:val="Strong"/>
          <w:shd w:fill="FAFAFA" w:val="clear"/>
        </w:rPr>
        <w:t>Valor estimado total:</w:t>
      </w:r>
      <w:r>
        <w:rPr>
          <w:shd w:fill="FAFAFA" w:val="clear"/>
        </w:rPr>
        <w:t xml:space="preserve"> $320.000 CLP netos. </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sans-serif" w:hAnsi="Arial;sans-serif" w:eastAsia="Arial;sans-serif" w:cs="Arial;sans-serif"/>
      <w:color w:val="222222"/>
      <w:sz w:val="21"/>
      <w:szCs w:val="21"/>
      <w:lang w:val="en-US" w:eastAsia="zh-CN" w:bidi="hi-IN"/>
    </w:rPr>
  </w:style>
  <w:style w:type="paragraph" w:styleId="Heading1">
    <w:name w:val="heading 1"/>
    <w:basedOn w:val="Heading"/>
    <w:next w:val="BodyText"/>
    <w:qFormat/>
    <w:pPr>
      <w:spacing w:before="240" w:after="60"/>
    </w:pPr>
    <w:rPr>
      <w:b/>
      <w:bCs/>
      <w:color w:val="17365D"/>
      <w:sz w:val="40"/>
      <w:szCs w:val="40"/>
    </w:rPr>
  </w:style>
  <w:style w:type="paragraph" w:styleId="Heading2">
    <w:name w:val="heading 2"/>
    <w:basedOn w:val="Heading"/>
    <w:next w:val="BodyText"/>
    <w:qFormat/>
    <w:pPr>
      <w:numPr>
        <w:ilvl w:val="0"/>
        <w:numId w:val="0"/>
      </w:numPr>
      <w:pBdr>
        <w:bottom w:val="single" w:sz="2" w:space="3" w:color="B8C8D8"/>
      </w:pBdr>
      <w:spacing w:before="315" w:after="120"/>
      <w:outlineLvl w:val="1"/>
    </w:pPr>
    <w:rPr>
      <w:rFonts w:ascii="Liberation Serif" w:hAnsi="Liberation Serif" w:eastAsia="Noto Serif CJK SC" w:cs="Noto Sans Devanagari"/>
      <w:b/>
      <w:bCs/>
      <w:color w:val="245B84"/>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ubtitulo">
    <w:name w:val="Body Text.subtitulo"/>
    <w:basedOn w:val="BodyText"/>
    <w:qFormat/>
    <w:pPr/>
    <w:rPr>
      <w:color w:val="666666"/>
    </w:rPr>
  </w:style>
  <w:style w:type="paragraph" w:styleId="TableHeading">
    <w:name w:val="Table Heading"/>
    <w:basedOn w:val="TableContents"/>
    <w:qFormat/>
    <w:pPr>
      <w:suppressLineNumbers/>
      <w:jc w:val="start"/>
    </w:pPr>
    <w:rPr>
      <w:b/>
      <w:bCs/>
      <w:color w:val="FFFFFF"/>
    </w:rPr>
  </w:style>
  <w:style w:type="paragraph" w:styleId="BodyTextnota">
    <w:name w:val="Body Text.nota"/>
    <w:basedOn w:val="BodyText"/>
    <w:qFormat/>
    <w:pPr/>
    <w:rPr>
      <w:color w:val="55555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677</Words>
  <Characters>3854</Characters>
  <CharactersWithSpaces>4456</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Presupuesto — Desglose de ingresos en Excel RAMUCH</dc:title>
</cp:coreProperties>
</file>

<file path=docProps/custom.xml><?xml version="1.0" encoding="utf-8"?>
<Properties xmlns="http://schemas.openxmlformats.org/officeDocument/2006/custom-properties" xmlns:vt="http://schemas.openxmlformats.org/officeDocument/2006/docPropsVTypes"/>
</file>