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jc w:val="start"/>
        <w:rPr/>
      </w:pPr>
      <w:r>
        <w:rPr/>
        <w:t>Presupuesto de desarrollo</w:t>
      </w:r>
    </w:p>
    <w:p>
      <w:pPr>
        <w:pStyle w:val="BodyTextsubtitulo"/>
        <w:bidi w:val="0"/>
        <w:jc w:val="start"/>
        <w:rPr/>
      </w:pPr>
      <w:r>
        <w:rPr/>
        <w:t>Mejoras para la Comisión de Equipo — RAMUCH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Fecha:</w:t>
      </w:r>
      <w:r>
        <w:rPr/>
        <w:t xml:space="preserve"> 12 de septiembre de 2026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bdr w:val="single" w:sz="30" w:space="11" w:color="2A84B8"/>
          <w:shd w:fill="EEF5FA" w:val="clear"/>
        </w:rPr>
        <w:t>Objetivo</w:t>
      </w:r>
      <w:r>
        <w:rPr>
          <w:bdr w:val="single" w:sz="30" w:space="11" w:color="2A84B8"/>
          <w:shd w:fill="EEF5FA" w:val="clear"/>
        </w:rPr>
        <w:br/>
        <w:t xml:space="preserve">Completar la separación entre préstamos e inventario, permitir préstamos directos por usuarios autorizados, mejorar la búsqueda y presentación de datos, y condicionar las solicitudes de equipo a información mínima de seguridad del socio. 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jc w:val="start"/>
        <w:rPr/>
      </w:pPr>
      <w:r>
        <w:rPr/>
        <w:t>Evaluación de la implementación actual</w:t>
      </w:r>
    </w:p>
    <w:tbl>
      <w:tblPr>
        <w:tblW w:w="98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37"/>
        <w:gridCol w:w="1529"/>
        <w:gridCol w:w="5600"/>
      </w:tblGrid>
      <w:tr>
        <w:trPr>
          <w:tblHeader w:val="true"/>
        </w:trPr>
        <w:tc>
          <w:tcPr>
            <w:tcW w:w="2737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Solicitud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Estado</w:t>
            </w:r>
          </w:p>
        </w:tc>
        <w:tc>
          <w:tcPr>
            <w:tcW w:w="560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Evaluación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Cambiar de 3 a 4 meses la restricción por deuda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22020"/>
              </w:rPr>
            </w:pPr>
            <w:r>
              <w:rPr>
                <w:b/>
                <w:color w:val="A22020"/>
              </w:rPr>
              <w:t>Pendiente</w:t>
            </w:r>
          </w:p>
        </w:tc>
        <w:tc>
          <w:tcPr>
            <w:tcW w:w="5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Los módulos activos todavía calculan el bloqueo utilizando tres meses.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Incorporar filtros de búsqueda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46700"/>
              </w:rPr>
            </w:pPr>
            <w:r>
              <w:rPr>
                <w:b/>
                <w:color w:val="A46700"/>
              </w:rPr>
              <w:t>Parcial</w:t>
            </w:r>
          </w:p>
        </w:tc>
        <w:tc>
          <w:tcPr>
            <w:tcW w:w="5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Existe búsqueda general por equipo, identificador y socio, pero faltan filtros específicos por estado, fechas, categoría y responsable.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Aclarar préstamo personal versus préstamo gestionado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22020"/>
              </w:rPr>
            </w:pPr>
            <w:r>
              <w:rPr>
                <w:b/>
                <w:color w:val="A22020"/>
              </w:rPr>
              <w:t>Pendiente</w:t>
            </w:r>
          </w:p>
        </w:tc>
        <w:tc>
          <w:tcPr>
            <w:tcW w:w="5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existe una explicación clara ni separación formal de ambos flujos.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Préstamo directo por administradores de equipo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46700"/>
              </w:rPr>
            </w:pPr>
            <w:r>
              <w:rPr>
                <w:b/>
                <w:color w:val="A46700"/>
              </w:rPr>
              <w:t>Parcial</w:t>
            </w:r>
          </w:p>
        </w:tc>
        <w:tc>
          <w:tcPr>
            <w:tcW w:w="5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Existe lógica reutilizable de préstamo, pero el flujo actual de préstamos activos no permite asignar de forma completa un equipo disponible sin solicitud previa.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Inventario de equipos separado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46700"/>
              </w:rPr>
            </w:pPr>
            <w:r>
              <w:rPr>
                <w:b/>
                <w:color w:val="A46700"/>
              </w:rPr>
              <w:t>Inicial</w:t>
            </w:r>
          </w:p>
        </w:tc>
        <w:tc>
          <w:tcPr>
            <w:tcW w:w="5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El menú y la sección fueron creados, pero la pantalla únicamente muestra “Prontamente”. Falta el inventario funcional.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Mostrar únicamente equipos actualmente prestados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16713A"/>
              </w:rPr>
            </w:pPr>
            <w:r>
              <w:rPr>
                <w:b/>
                <w:color w:val="16713A"/>
              </w:rPr>
              <w:t>Implementado</w:t>
            </w:r>
          </w:p>
        </w:tc>
        <w:tc>
          <w:tcPr>
            <w:tcW w:w="5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El listado administrativo aplica un filtro que muestra solo equipos asignados actualmente.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Fechas en columnas independientes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46700"/>
              </w:rPr>
            </w:pPr>
            <w:r>
              <w:rPr>
                <w:b/>
                <w:color w:val="A46700"/>
              </w:rPr>
              <w:t>Parcial</w:t>
            </w:r>
          </w:p>
        </w:tc>
        <w:tc>
          <w:tcPr>
            <w:tcW w:w="5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La fecha de devolución ya está separada del nombre del socio, pero falta una columna independiente para la fecha de inicio del préstamo.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Ordenar por nombre de la persona asignada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16713A"/>
              </w:rPr>
            </w:pPr>
            <w:r>
              <w:rPr>
                <w:b/>
                <w:color w:val="16713A"/>
              </w:rPr>
              <w:t>Implementado</w:t>
            </w:r>
          </w:p>
        </w:tc>
        <w:tc>
          <w:tcPr>
            <w:tcW w:w="5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El orden inicial se realiza por el nombre del socio y admite ordenamiento desde la tabla.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Confirmación antes de desactivar préstamos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16713A"/>
              </w:rPr>
            </w:pPr>
            <w:r>
              <w:rPr>
                <w:b/>
                <w:color w:val="16713A"/>
              </w:rPr>
              <w:t>Implementado</w:t>
            </w:r>
          </w:p>
        </w:tc>
        <w:tc>
          <w:tcPr>
            <w:tcW w:w="5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Existe un diálogo de confirmación y la opción segura queda seleccionada por defecto.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Devolver equipos sin recargar toda la página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16713A"/>
              </w:rPr>
            </w:pPr>
            <w:r>
              <w:rPr>
                <w:b/>
                <w:color w:val="16713A"/>
              </w:rPr>
              <w:t>Implementado</w:t>
            </w:r>
          </w:p>
        </w:tc>
        <w:tc>
          <w:tcPr>
            <w:tcW w:w="5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La devolución utiliza AJAX y retira de la tabla las filas procesadas.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Impedir solicitudes con datos incompletos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22020"/>
              </w:rPr>
            </w:pPr>
            <w:r>
              <w:rPr>
                <w:b/>
                <w:color w:val="A22020"/>
              </w:rPr>
              <w:t>Pendiente</w:t>
            </w:r>
          </w:p>
        </w:tc>
        <w:tc>
          <w:tcPr>
            <w:tcW w:w="5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Los datos de contacto de emergencia existen en el perfil, pero son opcionales y no condicionan la solicitud.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Aviso, enlace de actualización y comunicación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22020"/>
              </w:rPr>
            </w:pPr>
            <w:r>
              <w:rPr>
                <w:b/>
                <w:color w:val="A22020"/>
              </w:rPr>
              <w:t>Pendiente</w:t>
            </w:r>
          </w:p>
        </w:tc>
        <w:tc>
          <w:tcPr>
            <w:tcW w:w="5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existe aviso específico con acceso directo al perfil ni notificación asociada a datos incompletos.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300" w:after="120"/>
        <w:jc w:val="start"/>
        <w:rPr/>
      </w:pPr>
      <w:r>
        <w:rPr/>
        <w:t>Desarrollo pendiente incluido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Actualizar y unificar en cuatro meses la regla de morosidad para solicitar o recibir equipo.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Agregar filtros explícitos por socio, equipo, identificador, responsable, estado y rango de fechas.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Incorporar textos y ayudas que distingan la solicitud personal del préstamo directo gestionado por la Comisión.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Construir el inventario funcional con equipos disponibles, prestados, dados de baja, extraviados o inutilizables, reutilizando las operaciones de creación y edición existentes.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Crear un flujo de préstamo directo para usuarios autorizados, seleccionando socio, equipo, fecha inicial y fecha comprometida de devolución sin solicitud previa.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Registrar quién realizó el préstamo directo, fecha, destinatario y observaciones, enviando la confirmación correspondiente.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Agregar la fecha inicial del préstamo como columna independiente.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Validar antes de cada solicitud que exista, como mínimo, nombre y teléfono de contacto de emergencia.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Mostrar un aviso explícito con enlace directo a la edición del perfil cuando falten datos obligatorios.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Probar permisos, filtros, préstamo directo, devolución, reglas de deuda y perfiles incompletos en staging.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bdr w:val="single" w:sz="30" w:space="11" w:color="E5A100"/>
          <w:shd w:fill="FFF8E6" w:val="clear"/>
        </w:rPr>
        <w:t>Criterio de privacidad:</w:t>
      </w:r>
      <w:r>
        <w:rPr>
          <w:bdr w:val="single" w:sz="30" w:space="11" w:color="E5A100"/>
          <w:shd w:fill="FFF8E6" w:val="clear"/>
        </w:rPr>
        <w:t xml:space="preserve"> la restricción propuesta se limita a datos de contacto de emergencia. Los antecedentes de salud permanecerán opcionales y no serán requisito para solicitar equipo. 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jc w:val="start"/>
        <w:rPr/>
      </w:pPr>
      <w:r>
        <w:rPr/>
        <w:t>Estimación integral de la solicitud</w:t>
      </w:r>
    </w:p>
    <w:tbl>
      <w:tblPr>
        <w:tblW w:w="91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992"/>
        <w:gridCol w:w="1142"/>
      </w:tblGrid>
      <w:tr>
        <w:trPr>
          <w:tblHeader w:val="true"/>
        </w:trPr>
        <w:tc>
          <w:tcPr>
            <w:tcW w:w="7992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Actividad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Horas</w:t>
            </w:r>
          </w:p>
        </w:tc>
      </w:tr>
      <w:tr>
        <w:trPr/>
        <w:tc>
          <w:tcPr>
            <w:tcW w:w="7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Separación del módulo de préstamos y visualización exclusiva de equipos prestados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1,5</w:t>
            </w:r>
          </w:p>
        </w:tc>
      </w:tr>
      <w:tr>
        <w:trPr/>
        <w:tc>
          <w:tcPr>
            <w:tcW w:w="7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Búsqueda por socio, ordenamiento y separación inicial de datos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1,5</w:t>
            </w:r>
          </w:p>
        </w:tc>
      </w:tr>
      <w:tr>
        <w:trPr/>
        <w:tc>
          <w:tcPr>
            <w:tcW w:w="7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Confirmación de activación o desactivación y devolución sin recarga completa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1,5</w:t>
            </w:r>
          </w:p>
        </w:tc>
      </w:tr>
      <w:tr>
        <w:trPr/>
        <w:tc>
          <w:tcPr>
            <w:tcW w:w="7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Regla de cuatro meses y revisión de puntos de acceso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0,5</w:t>
            </w:r>
          </w:p>
        </w:tc>
      </w:tr>
      <w:tr>
        <w:trPr/>
        <w:tc>
          <w:tcPr>
            <w:tcW w:w="7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Filtros avanzados y ajustes de columnas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1,5</w:t>
            </w:r>
          </w:p>
        </w:tc>
      </w:tr>
      <w:tr>
        <w:trPr/>
        <w:tc>
          <w:tcPr>
            <w:tcW w:w="7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Inventario funcional separado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2,5</w:t>
            </w:r>
          </w:p>
        </w:tc>
      </w:tr>
      <w:tr>
        <w:trPr/>
        <w:tc>
          <w:tcPr>
            <w:tcW w:w="7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Flujo de préstamo directo y trazabilidad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2,0</w:t>
            </w:r>
          </w:p>
        </w:tc>
      </w:tr>
      <w:tr>
        <w:trPr/>
        <w:tc>
          <w:tcPr>
            <w:tcW w:w="7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Validación de datos de emergencia, avisos y enlace al perfil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2,5</w:t>
            </w:r>
          </w:p>
        </w:tc>
      </w:tr>
      <w:tr>
        <w:trPr/>
        <w:tc>
          <w:tcPr>
            <w:tcW w:w="7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Pruebas integrales en staging y publicación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1,5</w:t>
            </w:r>
          </w:p>
        </w:tc>
      </w:tr>
      <w:tr>
        <w:trPr/>
        <w:tc>
          <w:tcPr>
            <w:tcW w:w="7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Total estimado de la solicitud completa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15,0 horas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300" w:after="120"/>
        <w:jc w:val="start"/>
        <w:rPr/>
      </w:pPr>
      <w:r>
        <w:rPr/>
        <w:t>Valorización</w:t>
      </w:r>
    </w:p>
    <w:tbl>
      <w:tblPr>
        <w:tblW w:w="442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69"/>
        <w:gridCol w:w="1854"/>
      </w:tblGrid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Tarifa desarrollador senior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$40.000 CLP/hora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Valor neto integral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$600.000 CLP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IVA (19 %)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$114.000 CLP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Total con IVA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$714.000 CLP</w:t>
            </w:r>
          </w:p>
        </w:tc>
      </w:tr>
    </w:tbl>
    <w:p>
      <w:pPr>
        <w:pStyle w:val="BodyTextnota"/>
        <w:bidi w:val="0"/>
        <w:jc w:val="start"/>
        <w:rPr/>
      </w:pPr>
      <w:r>
        <w:rPr/>
        <w:t>Esta valorización comprende la solicitud completa, incluyendo las funcionalidades ya desarrolladas y aquellas que todavía están pendientes, debido a que no se ha efectuado ningún cobro previo por esta solicitud. Considera desarrollo PHP/MySQL, pruebas en staging y publicación posterior a la aprobación.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jc w:val="start"/>
        <w:rPr/>
      </w:pPr>
      <w:r>
        <w:rPr/>
        <w:t>Detalle para registrar en la Intranet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shd w:fill="FAFAFA" w:val="clear"/>
        </w:rPr>
        <w:t>Desarrollo integral de las mejoras para la Comisión de Equipo: cambio de tres a cuatro meses en la regla de morosidad; filtros de búsqueda; separación entre préstamos e inventario; visualización exclusiva de equipos prestados; ordenamiento por socio; fechas independientes; confirmación antes de desactivar préstamos; devolución sin recarga completa; inventario funcional; préstamo directo por administradores autorizados; trazabilidad y notificación; validación obligatoria del contacto de emergencia; avisos y acceso directo a la actualización del perfil; pruebas en staging y publicación.</w:t>
        <w:br/>
        <w:br/>
      </w:r>
      <w:r>
        <w:rPr>
          <w:rStyle w:val="Strong"/>
          <w:shd w:fill="FAFAFA" w:val="clear"/>
        </w:rPr>
        <w:t>Tiempo total estimado:</w:t>
      </w:r>
      <w:r>
        <w:rPr>
          <w:shd w:fill="FAFAFA" w:val="clear"/>
        </w:rPr>
        <w:t xml:space="preserve"> 15 horas.</w:t>
        <w:br/>
      </w:r>
      <w:r>
        <w:rPr>
          <w:rStyle w:val="Strong"/>
          <w:shd w:fill="FAFAFA" w:val="clear"/>
        </w:rPr>
        <w:t>Valor total estimado:</w:t>
      </w:r>
      <w:r>
        <w:rPr>
          <w:shd w:fill="FAFAFA" w:val="clear"/>
        </w:rPr>
        <w:t xml:space="preserve"> $600.000 CLP netos. 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36"/>
    </w:pPr>
    <w:rPr>
      <w:rFonts w:ascii="Arial;sans-serif" w:hAnsi="Arial;sans-serif" w:eastAsia="Arial;sans-serif" w:cs="Arial;sans-serif"/>
      <w:color w:val="222222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60"/>
    </w:pPr>
    <w:rPr>
      <w:b/>
      <w:bCs/>
      <w:color w:val="17365D"/>
      <w:sz w:val="40"/>
      <w:szCs w:val="4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3" w:color="B8C8D8"/>
      </w:pBdr>
      <w:spacing w:before="300" w:after="120"/>
      <w:outlineLvl w:val="1"/>
    </w:pPr>
    <w:rPr>
      <w:rFonts w:ascii="Liberation Serif" w:hAnsi="Liberation Serif" w:eastAsia="Noto Serif CJK SC" w:cs="Noto Sans Devanagari"/>
      <w:b/>
      <w:bCs/>
      <w:color w:val="245B84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subtitulo">
    <w:name w:val="Body Text.subtitulo"/>
    <w:basedOn w:val="BodyText"/>
    <w:qFormat/>
    <w:pPr/>
    <w:rPr>
      <w:color w:val="666666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FFFFFF"/>
    </w:rPr>
  </w:style>
  <w:style w:type="paragraph" w:styleId="BodyTextnota">
    <w:name w:val="Body Text.nota"/>
    <w:basedOn w:val="BodyText"/>
    <w:qFormat/>
    <w:pPr/>
    <w:rPr>
      <w:color w:val="555555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778</Words>
  <Characters>4691</Characters>
  <CharactersWithSpaces>5383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Presupuesto — Mejoras Comisión de Equipo RAMUCH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