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60"/>
        <w:jc w:val="start"/>
        <w:rPr/>
      </w:pPr>
      <w:r>
        <w:rPr/>
        <w:t>Presupuesto de desarrollo</w:t>
      </w:r>
    </w:p>
    <w:p>
      <w:pPr>
        <w:pStyle w:val="BodyTextsubtitulo"/>
        <w:bidi w:val="0"/>
        <w:jc w:val="start"/>
        <w:rPr/>
      </w:pPr>
      <w:r>
        <w:rPr/>
        <w:t>Modificaciones al Formulario de Inscripción — RAMUCH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Fecha:</w:t>
      </w:r>
      <w:r>
        <w:rPr/>
        <w:t xml:space="preserve"> 12 de septiembre de 2026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bdr w:val="single" w:sz="30" w:space="11" w:color="2A84B8"/>
          <w:shd w:fill="EEF5FA" w:val="clear"/>
        </w:rPr>
        <w:t>Objetivo</w:t>
      </w:r>
      <w:r>
        <w:rPr>
          <w:bdr w:val="single" w:sz="30" w:space="11" w:color="2A84B8"/>
          <w:shd w:fill="EEF5FA" w:val="clear"/>
        </w:rPr>
        <w:br/>
        <w:t xml:space="preserve">Ampliar y estandarizar los antecedentes capturados durante la inscripción, mejorar la calidad de los datos, incorporar estadísticas agregadas, automatizar saludos de cumpleaños y actualizar el consentimiento informado del socio. 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jc w:val="start"/>
        <w:rPr/>
      </w:pPr>
      <w:r>
        <w:rPr/>
        <w:t>Evaluación de lo existente</w:t>
      </w:r>
    </w:p>
    <w:tbl>
      <w:tblPr>
        <w:tblW w:w="997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77"/>
        <w:gridCol w:w="1529"/>
        <w:gridCol w:w="5972"/>
      </w:tblGrid>
      <w:tr>
        <w:trPr>
          <w:tblHeader w:val="true"/>
        </w:trPr>
        <w:tc>
          <w:tcPr>
            <w:tcW w:w="2477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Requerimiento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Estado</w:t>
            </w:r>
          </w:p>
        </w:tc>
        <w:tc>
          <w:tcPr>
            <w:tcW w:w="597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start"/>
              <w:rPr/>
            </w:pPr>
            <w:r>
              <w:rPr/>
              <w:t>Evaluación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Separar nombres y apellidos; exportar a Excel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A22020"/>
              </w:rPr>
            </w:pPr>
            <w:r>
              <w:rPr>
                <w:b/>
                <w:color w:val="A22020"/>
              </w:rPr>
              <w:t>Pendiente</w:t>
            </w:r>
          </w:p>
        </w:tc>
        <w:tc>
          <w:tcPr>
            <w:tcW w:w="5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Actualmente se almacena el nombre completo en un solo campo. La exportación también utiliza ese único valor.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Sexo/género y tablero agregado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A22020"/>
              </w:rPr>
            </w:pPr>
            <w:r>
              <w:rPr>
                <w:b/>
                <w:color w:val="A22020"/>
              </w:rPr>
              <w:t>Pendiente</w:t>
            </w:r>
          </w:p>
        </w:tc>
        <w:tc>
          <w:tcPr>
            <w:tcW w:w="5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 existe el campo en el registro ni una visualización estadística en el Dashboard.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RUT obligatorio y estandarizado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A46700"/>
              </w:rPr>
            </w:pPr>
            <w:r>
              <w:rPr>
                <w:b/>
                <w:color w:val="A46700"/>
              </w:rPr>
              <w:t>Parcial</w:t>
            </w:r>
          </w:p>
        </w:tc>
        <w:tc>
          <w:tcPr>
            <w:tcW w:w="5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Es obligatorio, se valida y se formatea con puntos y guion al salir del campo. Falta mejorar el formateo durante la digitación y reforzar la validación del servidor.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Email obligatorio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16713A"/>
              </w:rPr>
            </w:pPr>
            <w:r>
              <w:rPr>
                <w:b/>
                <w:color w:val="16713A"/>
              </w:rPr>
              <w:t>Implementado</w:t>
            </w:r>
          </w:p>
        </w:tc>
        <w:tc>
          <w:tcPr>
            <w:tcW w:w="5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El formulario exige email, confirmación del email y valida su formato y duplicidad.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Fecha de nacimiento obligatoria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A46700"/>
              </w:rPr>
            </w:pPr>
            <w:r>
              <w:rPr>
                <w:b/>
                <w:color w:val="A46700"/>
              </w:rPr>
              <w:t>Parcial</w:t>
            </w:r>
          </w:p>
        </w:tc>
        <w:tc>
          <w:tcPr>
            <w:tcW w:w="5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El perfil interno ya dispone de fecha de nacimiento, pero el formulario público no la solicita y actualmente registra una fecha vacía.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Correo automático de cumpleaños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A22020"/>
              </w:rPr>
            </w:pPr>
            <w:r>
              <w:rPr>
                <w:b/>
                <w:color w:val="A22020"/>
              </w:rPr>
              <w:t>Pendiente</w:t>
            </w:r>
          </w:p>
        </w:tc>
        <w:tc>
          <w:tcPr>
            <w:tcW w:w="5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 existe una tarea diaria a las 09:00, plantilla de saludo, copia oculta ni control de envíos duplicados.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Teléfono obligatorio y normalizado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A46700"/>
              </w:rPr>
            </w:pPr>
            <w:r>
              <w:rPr>
                <w:b/>
                <w:color w:val="A46700"/>
              </w:rPr>
              <w:t>Parcial</w:t>
            </w:r>
          </w:p>
        </w:tc>
        <w:tc>
          <w:tcPr>
            <w:tcW w:w="5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Es obligatorio, pero admite texto libre y no controla prefijo, longitud ni formato internacional.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Tipo de socio obligatorio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A46700"/>
              </w:rPr>
            </w:pPr>
            <w:r>
              <w:rPr>
                <w:b/>
                <w:color w:val="A46700"/>
              </w:rPr>
              <w:t>Parcial</w:t>
            </w:r>
          </w:p>
        </w:tc>
        <w:tc>
          <w:tcPr>
            <w:tcW w:w="5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El sistema ya diferencia planes profesional y estudiante, pero actualmente lo infiere según la existencia del certificado; no hay selector explícito.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Certificado obligatorio para estudiante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A46700"/>
              </w:rPr>
            </w:pPr>
            <w:r>
              <w:rPr>
                <w:b/>
                <w:color w:val="A46700"/>
              </w:rPr>
              <w:t>Parcial</w:t>
            </w:r>
          </w:p>
        </w:tc>
        <w:tc>
          <w:tcPr>
            <w:tcW w:w="5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La carga de PDF o imagen existe, pero es opcional y no depende de una selección explícita de “Estudiante Pregrado”.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Participación en otro club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A22020"/>
              </w:rPr>
            </w:pPr>
            <w:r>
              <w:rPr>
                <w:b/>
                <w:color w:val="A22020"/>
              </w:rPr>
              <w:t>Pendiente</w:t>
            </w:r>
          </w:p>
        </w:tc>
        <w:tc>
          <w:tcPr>
            <w:tcW w:w="5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 existen la pregunta, el detalle máximo de 50 caracteres ni campos de base de datos asociados.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Motivaciones para ingresar a RAMUCH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A22020"/>
              </w:rPr>
            </w:pPr>
            <w:r>
              <w:rPr>
                <w:b/>
                <w:color w:val="A22020"/>
              </w:rPr>
              <w:t>Pendiente</w:t>
            </w:r>
          </w:p>
        </w:tc>
        <w:tc>
          <w:tcPr>
            <w:tcW w:w="5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 existe selección múltiple, límite de tres alternativas ni opción “Otro”.</w:t>
            </w:r>
          </w:p>
        </w:tc>
      </w:tr>
      <w:tr>
        <w:trPr/>
        <w:tc>
          <w:tcPr>
            <w:tcW w:w="24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Consentimiento, Protocolo y Estatutos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b/>
                <w:color w:val="A46700"/>
              </w:rPr>
            </w:pPr>
            <w:r>
              <w:rPr>
                <w:b/>
                <w:color w:val="A46700"/>
              </w:rPr>
              <w:t>Parcial</w:t>
            </w:r>
          </w:p>
        </w:tc>
        <w:tc>
          <w:tcPr>
            <w:tcW w:w="59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Existe un checkbox obligatorio. El texto está desactualizado; el vínculo de deberes no apunta a ningún documento y debe actualizarse la referencia al Protocolo de Cuotas.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300" w:after="120"/>
        <w:jc w:val="start"/>
        <w:rPr/>
      </w:pPr>
      <w:r>
        <w:rPr/>
        <w:t>Certificado de Alumno Regular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Actualmente el certificado se guarda en el directorio </w:t>
      </w:r>
      <w:r>
        <w:rPr>
          <w:rStyle w:val="Strong"/>
        </w:rPr>
        <w:t>admin/components/socios/archivos</w:t>
      </w:r>
      <w:r>
        <w:rPr/>
        <w:t xml:space="preserve"> y su nombre se registra en el perfil del socio. Los administradores pueden abrirlo desde la ficha administrativa mediante el enlace “ver certificado actual”, por lo que su consulta es sencilla.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bdr w:val="single" w:sz="30" w:space="11" w:color="E5A100"/>
          <w:shd w:fill="FFF8E6" w:val="clear"/>
        </w:rPr>
        <w:t>Recomendación de seguridad:</w:t>
      </w:r>
      <w:r>
        <w:rPr>
          <w:bdr w:val="single" w:sz="30" w:space="11" w:color="E5A100"/>
          <w:shd w:fill="FFF8E6" w:val="clear"/>
        </w:rPr>
        <w:t xml:space="preserve"> los certificados no deberían depender únicamente de una dirección directa dentro del sitio web. Se recomienda impedir el listado público, validar el tipo real y tamaño del archivo, asignar nombres aleatorios y servir la descarga mediante un controlador autenticado que compruebe los permisos del administrador. 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jc w:val="start"/>
        <w:rPr/>
      </w:pPr>
      <w:r>
        <w:rPr/>
        <w:t>Desarrollo considerado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Migración de base de datos para nombres, apellidos, género, nacimiento, teléfono normalizado, club anterior, motivaciones y consentimiento.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Actualización del formulario y validaciones tanto en navegador como en servidor.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Dependencias condicionales: certificado obligatorio para estudiante, detalle del club anterior y texto para la opción “Otro”.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Límite de tres motivaciones y almacenamiento estructurado para informes posteriores.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Actualización de la ficha administrativa, listados y exportaciones Excel.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Tablero agregado de distribución por sexo/género, sin exponer información individual innecesaria.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Tarea diaria de cumpleaños a las 09:00, correo personalizado, copia oculta a la Directiva, registro y prevención de duplicados.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Actualización del consentimiento y enlaces a los documentos oficiales publicados por RAMUCH.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Protección y descarga autenticada del certificado de alumno regular.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Pruebas de inscripción profesional y estudiante en staging y publicación posterior. 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jc w:val="start"/>
        <w:rPr/>
      </w:pPr>
      <w:r>
        <w:rPr/>
        <w:t>Estimación integral</w:t>
      </w:r>
    </w:p>
    <w:tbl>
      <w:tblPr>
        <w:tblW w:w="621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077"/>
        <w:gridCol w:w="1142"/>
      </w:tblGrid>
      <w:tr>
        <w:trPr>
          <w:tblHeader w:val="true"/>
        </w:trPr>
        <w:tc>
          <w:tcPr>
            <w:tcW w:w="5077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Actividad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end"/>
              <w:rPr/>
            </w:pPr>
            <w:r>
              <w:rPr/>
              <w:t>Horas</w:t>
            </w:r>
          </w:p>
        </w:tc>
      </w:tr>
      <w:tr>
        <w:trPr/>
        <w:tc>
          <w:tcPr>
            <w:tcW w:w="50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Diseño y migración del modelo de datos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2,0</w:t>
            </w:r>
          </w:p>
        </w:tc>
      </w:tr>
      <w:tr>
        <w:trPr/>
        <w:tc>
          <w:tcPr>
            <w:tcW w:w="50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Nombres, apellidos, género y fecha de nacimiento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2,5</w:t>
            </w:r>
          </w:p>
        </w:tc>
      </w:tr>
      <w:tr>
        <w:trPr/>
        <w:tc>
          <w:tcPr>
            <w:tcW w:w="50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RUT, email y normalización internacional del teléfono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1,5</w:t>
            </w:r>
          </w:p>
        </w:tc>
      </w:tr>
      <w:tr>
        <w:trPr/>
        <w:tc>
          <w:tcPr>
            <w:tcW w:w="50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Tipo de socio y certificado condicional protegido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2,0</w:t>
            </w:r>
          </w:p>
        </w:tc>
      </w:tr>
      <w:tr>
        <w:trPr/>
        <w:tc>
          <w:tcPr>
            <w:tcW w:w="50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Club anterior, motivaciones y reglas condicionales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2,5</w:t>
            </w:r>
          </w:p>
        </w:tc>
      </w:tr>
      <w:tr>
        <w:trPr/>
        <w:tc>
          <w:tcPr>
            <w:tcW w:w="50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Consentimiento y enlaces documentales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1,0</w:t>
            </w:r>
          </w:p>
        </w:tc>
      </w:tr>
      <w:tr>
        <w:trPr/>
        <w:tc>
          <w:tcPr>
            <w:tcW w:w="50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Ficha administrativa y exportaciones Excel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2,0</w:t>
            </w:r>
          </w:p>
        </w:tc>
      </w:tr>
      <w:tr>
        <w:trPr/>
        <w:tc>
          <w:tcPr>
            <w:tcW w:w="50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Dashboard agregado por sexo/género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1,5</w:t>
            </w:r>
          </w:p>
        </w:tc>
      </w:tr>
      <w:tr>
        <w:trPr/>
        <w:tc>
          <w:tcPr>
            <w:tcW w:w="50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Automatización del correo de cumpleaños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2,0</w:t>
            </w:r>
          </w:p>
        </w:tc>
      </w:tr>
      <w:tr>
        <w:trPr/>
        <w:tc>
          <w:tcPr>
            <w:tcW w:w="50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Pruebas integrales, staging y publicación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2,0</w:t>
            </w:r>
          </w:p>
        </w:tc>
      </w:tr>
      <w:tr>
        <w:trPr/>
        <w:tc>
          <w:tcPr>
            <w:tcW w:w="507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Total estimado de la solicitud completa</w:t>
            </w:r>
          </w:p>
        </w:tc>
        <w:tc>
          <w:tcPr>
            <w:tcW w:w="114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19,0 horas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300" w:after="120"/>
        <w:jc w:val="start"/>
        <w:rPr/>
      </w:pPr>
      <w:r>
        <w:rPr/>
        <w:t>Valorización</w:t>
      </w:r>
    </w:p>
    <w:tbl>
      <w:tblPr>
        <w:tblW w:w="442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69"/>
        <w:gridCol w:w="1854"/>
      </w:tblGrid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Tarifa desarrollador senior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$40.000 CLP/hora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Valor neto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$760.000 CLP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IVA (19 %)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$144.400 CLP</w:t>
            </w:r>
          </w:p>
        </w:tc>
      </w:tr>
      <w:tr>
        <w:trPr/>
        <w:tc>
          <w:tcPr>
            <w:tcW w:w="25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Total con IVA</w:t>
            </w:r>
          </w:p>
        </w:tc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$904.400 CLP</w:t>
            </w:r>
          </w:p>
        </w:tc>
      </w:tr>
    </w:tbl>
    <w:p>
      <w:pPr>
        <w:pStyle w:val="BodyTextnota"/>
        <w:bidi w:val="0"/>
        <w:jc w:val="start"/>
        <w:rPr/>
      </w:pPr>
      <w:r>
        <w:rPr/>
        <w:t>La valorización contempla la solicitud completa, incluyendo la adaptación de funciones existentes. Considera desarrollo PHP/MySQL, migración no destructiva, validación en staging y publicación posterior a la aprobación.</w:t>
      </w:r>
    </w:p>
    <w:p>
      <w:pPr>
        <w:pStyle w:val="Heading2"/>
        <w:numPr>
          <w:ilvl w:val="0"/>
          <w:numId w:val="0"/>
        </w:numPr>
        <w:pBdr/>
        <w:bidi w:val="0"/>
        <w:spacing w:before="300" w:after="120"/>
        <w:jc w:val="start"/>
        <w:rPr/>
      </w:pPr>
      <w:r>
        <w:rPr/>
        <w:t>Detalle para registrar en la Intranet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shd w:fill="FAFAFA" w:val="clear"/>
        </w:rPr>
        <w:t>Ampliación integral del formulario de inscripción: separación de nombres y apellidos; género opcional; RUT, email, fecha de nacimiento, teléfono y tipo de socio obligatorios y estandarizados; certificado condicional para estudiantes; preguntas sobre clubes anteriores y motivaciones; actualización del consentimiento y sus enlaces documentales; adaptación de exportaciones Excel; tablero agregado por género; acceso protegido a certificados; y saludo automático de cumpleaños a las 09:00 con copia oculta a la Directiva. Incluye migración de datos, validaciones, trazabilidad, pruebas en staging y publicación.</w:t>
        <w:br/>
        <w:br/>
      </w:r>
      <w:r>
        <w:rPr>
          <w:rStyle w:val="Strong"/>
          <w:shd w:fill="FAFAFA" w:val="clear"/>
        </w:rPr>
        <w:t>Tiempo estimado total:</w:t>
      </w:r>
      <w:r>
        <w:rPr>
          <w:shd w:fill="FAFAFA" w:val="clear"/>
        </w:rPr>
        <w:t xml:space="preserve"> 19 horas.</w:t>
        <w:br/>
      </w:r>
      <w:r>
        <w:rPr>
          <w:rStyle w:val="Strong"/>
          <w:shd w:fill="FAFAFA" w:val="clear"/>
        </w:rPr>
        <w:t>Valor estimado total:</w:t>
      </w:r>
      <w:r>
        <w:rPr>
          <w:shd w:fill="FAFAFA" w:val="clear"/>
        </w:rPr>
        <w:t xml:space="preserve"> $760.000 CLP netos. </w:t>
      </w:r>
    </w:p>
    <w:sectPr>
      <w:type w:val="nextPage"/>
      <w:pgSz w:w="11906" w:h="16838"/>
      <w:pgMar w:left="964" w:right="964" w:gutter="0" w:header="0" w:top="964" w:footer="0" w:bottom="964"/>
      <w:pgNumType w:fmt="decimal"/>
      <w:formProt w:val="false"/>
      <w:textDirection w:val="lrTb"/>
      <w:docGrid w:type="default" w:linePitch="600" w:charSpace="401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31"/>
    </w:pPr>
    <w:rPr>
      <w:rFonts w:ascii="Arial;sans-serif" w:hAnsi="Arial;sans-serif" w:eastAsia="Arial;sans-serif" w:cs="Arial;sans-serif"/>
      <w:color w:val="222222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60"/>
    </w:pPr>
    <w:rPr>
      <w:b/>
      <w:bCs/>
      <w:color w:val="17365D"/>
      <w:sz w:val="40"/>
      <w:szCs w:val="4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3" w:color="B8C8D8"/>
      </w:pBdr>
      <w:spacing w:before="300" w:after="120"/>
      <w:outlineLvl w:val="1"/>
    </w:pPr>
    <w:rPr>
      <w:rFonts w:ascii="Liberation Serif" w:hAnsi="Liberation Serif" w:eastAsia="Noto Serif CJK SC" w:cs="Noto Sans Devanagari"/>
      <w:b/>
      <w:bCs/>
      <w:color w:val="245B84"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subtitulo">
    <w:name w:val="Body Text.subtitulo"/>
    <w:basedOn w:val="BodyText"/>
    <w:qFormat/>
    <w:pPr/>
    <w:rPr>
      <w:color w:val="666666"/>
    </w:rPr>
  </w:style>
  <w:style w:type="paragraph" w:styleId="TableHeading">
    <w:name w:val="Table Heading"/>
    <w:basedOn w:val="TableContents"/>
    <w:qFormat/>
    <w:pPr>
      <w:suppressLineNumbers/>
      <w:jc w:val="start"/>
    </w:pPr>
    <w:rPr>
      <w:b/>
      <w:bCs/>
      <w:color w:val="FFFFFF"/>
    </w:rPr>
  </w:style>
  <w:style w:type="paragraph" w:styleId="BodyTextnota">
    <w:name w:val="Body Text.nota"/>
    <w:basedOn w:val="BodyText"/>
    <w:qFormat/>
    <w:pPr/>
    <w:rPr>
      <w:color w:val="555555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787</Words>
  <Characters>4844</Characters>
  <CharactersWithSpaces>5541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Presupuesto — Modificaciones Formulario de Inscripción RAMUCH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