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60"/>
        <w:jc w:val="start"/>
        <w:rPr/>
      </w:pPr>
      <w:r>
        <w:rPr/>
        <w:t>Presupuesto de desarrollo</w:t>
      </w:r>
    </w:p>
    <w:p>
      <w:pPr>
        <w:pStyle w:val="BodyTextsubtitulo"/>
        <w:bidi w:val="0"/>
        <w:jc w:val="start"/>
        <w:rPr/>
      </w:pPr>
      <w:r>
        <w:rPr/>
        <w:t>Automatización de recordatorios y alertas por deudas — RAMUCH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>Fecha:</w:t>
      </w:r>
      <w:r>
        <w:rPr/>
        <w:t xml:space="preserve"> 12 de septiembre de 2026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bdr w:val="single" w:sz="30" w:space="11" w:color="2A84B8"/>
          <w:shd w:fill="EEF5FA" w:val="clear"/>
        </w:rPr>
        <w:t>Objetivo</w:t>
      </w:r>
      <w:r>
        <w:rPr>
          <w:bdr w:val="single" w:sz="30" w:space="11" w:color="2A84B8"/>
          <w:shd w:fill="EEF5FA" w:val="clear"/>
        </w:rPr>
        <w:br/>
        <w:t xml:space="preserve">Automatizar las comunicaciones asociadas a cuotas atrasadas, informando al socio desde su primer mes de deuda y notificando la pérdida de beneficios desde cuatro meses de atraso. La Directiva recibirá un informe de las personas que acumulen cuatro o más meses impagos. </w:t>
      </w:r>
    </w:p>
    <w:p>
      <w:pPr>
        <w:pStyle w:val="Heading2"/>
        <w:numPr>
          <w:ilvl w:val="0"/>
          <w:numId w:val="0"/>
        </w:numPr>
        <w:pBdr/>
        <w:bidi w:val="0"/>
        <w:spacing w:before="330" w:after="120"/>
        <w:jc w:val="start"/>
        <w:rPr/>
      </w:pPr>
      <w:r>
        <w:rPr/>
        <w:t>Estado actual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Existe un proceso programado que genera las cuotas de los socios.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Las deudas activas y pagadas ya se almacenan en la base de datos.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La administración permite consultar socios y montos adeudados.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La plataforma dispone de una infraestructura común para enviar correos mediante PHPMailer. 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>No existe actualmente</w:t>
      </w:r>
      <w:r>
        <w:rPr/>
        <w:t xml:space="preserve"> un proceso que envíe recordatorios de deuda a los socios, clasifique automáticamente la antigüedad de la morosidad o entregue a la Directiva un informe de quienes tengan cuatro o más meses impagos.</w:t>
      </w:r>
    </w:p>
    <w:p>
      <w:pPr>
        <w:pStyle w:val="Heading2"/>
        <w:numPr>
          <w:ilvl w:val="0"/>
          <w:numId w:val="0"/>
        </w:numPr>
        <w:pBdr/>
        <w:bidi w:val="0"/>
        <w:spacing w:before="330" w:after="120"/>
        <w:jc w:val="start"/>
        <w:rPr/>
      </w:pPr>
      <w:r>
        <w:rPr/>
        <w:t>Desarrollo pendiente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Crear una consulta confiable que calcule los meses de atraso y el total adeudado por socio.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Enviar al socio un recordatorio desde el primer mes de atraso, indicando cuotas pendientes, antigüedad, monto total y acceso a la sección de pago.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Incorporar, desde cuatro meses de atraso, una advertencia destacada sobre la pérdida de beneficios.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Generar un correo consolidado para la Directiva con los miembros que mantengan cuatro o más meses de deuda.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Obtener los destinatarios de la Directiva desde los roles vigentes de la plataforma, evitando correos escritos directamente en el código.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Registrar fecha, destinatario, rango de morosidad y resultado de cada envío.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Evitar recordatorios duplicados cuando el proceso automático se ejecute más de una vez en el mismo periodo.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Configurar una tarea programada segura y separar los envíos de staging y producción.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Realizar pruebas con socios sin deuda, con uno a tres meses y con cuatro o más meses de atraso. 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bdr w:val="single" w:sz="30" w:space="11" w:color="E5A100"/>
          <w:shd w:fill="FFF8E6" w:val="clear"/>
        </w:rPr>
        <w:t>Alcance considerado:</w:t>
      </w:r>
      <w:r>
        <w:rPr>
          <w:bdr w:val="single" w:sz="30" w:space="11" w:color="E5A100"/>
          <w:shd w:fill="FFF8E6" w:val="clear"/>
        </w:rPr>
        <w:t xml:space="preserve"> este presupuesto incluye comunicar la pérdida de beneficios. La suspensión técnica automática de permisos o beneficios dentro de todos los módulos no está incluida, porque requiere definir exactamente cuáles funciones debe bloquear la plataforma. </w:t>
      </w:r>
    </w:p>
    <w:p>
      <w:pPr>
        <w:pStyle w:val="Heading2"/>
        <w:numPr>
          <w:ilvl w:val="0"/>
          <w:numId w:val="0"/>
        </w:numPr>
        <w:pBdr/>
        <w:bidi w:val="0"/>
        <w:spacing w:before="330" w:after="120"/>
        <w:jc w:val="start"/>
        <w:rPr/>
      </w:pPr>
      <w:r>
        <w:rPr/>
        <w:t>Funcionamiento propuesto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24"/>
        <w:gridCol w:w="5562"/>
        <w:gridCol w:w="1452"/>
      </w:tblGrid>
      <w:tr>
        <w:trPr>
          <w:tblHeader w:val="true"/>
        </w:trPr>
        <w:tc>
          <w:tcPr>
            <w:tcW w:w="262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Situación</w:t>
            </w:r>
          </w:p>
        </w:tc>
        <w:tc>
          <w:tcPr>
            <w:tcW w:w="556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Acción automática</w:t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Destinatario</w:t>
            </w:r>
          </w:p>
        </w:tc>
      </w:tr>
      <w:tr>
        <w:trPr/>
        <w:tc>
          <w:tcPr>
            <w:tcW w:w="26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Sin deuda</w:t>
            </w:r>
          </w:p>
        </w:tc>
        <w:tc>
          <w:tcPr>
            <w:tcW w:w="55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No se envía recordatorio.</w:t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6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 a 3 meses de atraso</w:t>
            </w:r>
          </w:p>
        </w:tc>
        <w:tc>
          <w:tcPr>
            <w:tcW w:w="55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Recordatorio con detalle y total pendiente.</w:t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Socio/a</w:t>
            </w:r>
          </w:p>
        </w:tc>
      </w:tr>
      <w:tr>
        <w:trPr/>
        <w:tc>
          <w:tcPr>
            <w:tcW w:w="26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4 o más meses de atraso</w:t>
            </w:r>
          </w:p>
        </w:tc>
        <w:tc>
          <w:tcPr>
            <w:tcW w:w="55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Recordatorio con advertencia de pérdida de beneficios.</w:t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Socio/a</w:t>
            </w:r>
          </w:p>
        </w:tc>
      </w:tr>
      <w:tr>
        <w:trPr/>
        <w:tc>
          <w:tcPr>
            <w:tcW w:w="26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4 o más meses de atraso</w:t>
            </w:r>
          </w:p>
        </w:tc>
        <w:tc>
          <w:tcPr>
            <w:tcW w:w="55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Informe consolidado de morosidad crítica.</w:t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Directiva</w:t>
            </w:r>
          </w:p>
        </w:tc>
      </w:tr>
    </w:tbl>
    <w:p>
      <w:pPr>
        <w:pStyle w:val="Heading2"/>
        <w:numPr>
          <w:ilvl w:val="0"/>
          <w:numId w:val="0"/>
        </w:numPr>
        <w:pBdr/>
        <w:bidi w:val="0"/>
        <w:spacing w:before="330" w:after="120"/>
        <w:jc w:val="start"/>
        <w:rPr/>
      </w:pPr>
      <w:r>
        <w:rPr/>
        <w:t>Estimación de trabajo</w:t>
      </w:r>
    </w:p>
    <w:tbl>
      <w:tblPr>
        <w:tblW w:w="783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743"/>
        <w:gridCol w:w="1087"/>
      </w:tblGrid>
      <w:tr>
        <w:trPr>
          <w:tblHeader w:val="true"/>
        </w:trPr>
        <w:tc>
          <w:tcPr>
            <w:tcW w:w="6743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Actividad</w:t>
            </w:r>
          </w:p>
        </w:tc>
        <w:tc>
          <w:tcPr>
            <w:tcW w:w="1087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end"/>
              <w:rPr/>
            </w:pPr>
            <w:r>
              <w:rPr/>
              <w:t>Horas</w:t>
            </w:r>
          </w:p>
        </w:tc>
      </w:tr>
      <w:tr>
        <w:trPr/>
        <w:tc>
          <w:tcPr>
            <w:tcW w:w="67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Cálculo y clasificación de antigüedad de las deudas</w:t>
            </w:r>
          </w:p>
        </w:tc>
        <w:tc>
          <w:tcPr>
            <w:tcW w:w="10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1,0</w:t>
            </w:r>
          </w:p>
        </w:tc>
      </w:tr>
      <w:tr>
        <w:trPr/>
        <w:tc>
          <w:tcPr>
            <w:tcW w:w="67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Plantilla y envío de recordatorios a socios</w:t>
            </w:r>
          </w:p>
        </w:tc>
        <w:tc>
          <w:tcPr>
            <w:tcW w:w="10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1,5</w:t>
            </w:r>
          </w:p>
        </w:tc>
      </w:tr>
      <w:tr>
        <w:trPr/>
        <w:tc>
          <w:tcPr>
            <w:tcW w:w="67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Advertencia de beneficios e informe para la Directiva</w:t>
            </w:r>
          </w:p>
        </w:tc>
        <w:tc>
          <w:tcPr>
            <w:tcW w:w="10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1,0</w:t>
            </w:r>
          </w:p>
        </w:tc>
      </w:tr>
      <w:tr>
        <w:trPr/>
        <w:tc>
          <w:tcPr>
            <w:tcW w:w="67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Registro de envíos y prevención de duplicados</w:t>
            </w:r>
          </w:p>
        </w:tc>
        <w:tc>
          <w:tcPr>
            <w:tcW w:w="10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1,0</w:t>
            </w:r>
          </w:p>
        </w:tc>
      </w:tr>
      <w:tr>
        <w:trPr/>
        <w:tc>
          <w:tcPr>
            <w:tcW w:w="67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Configuración de ejecución automática y separación de ambientes</w:t>
            </w:r>
          </w:p>
        </w:tc>
        <w:tc>
          <w:tcPr>
            <w:tcW w:w="10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0,5</w:t>
            </w:r>
          </w:p>
        </w:tc>
      </w:tr>
      <w:tr>
        <w:trPr/>
        <w:tc>
          <w:tcPr>
            <w:tcW w:w="67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Pruebas en staging y publicación</w:t>
            </w:r>
          </w:p>
        </w:tc>
        <w:tc>
          <w:tcPr>
            <w:tcW w:w="10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1,0</w:t>
            </w:r>
          </w:p>
        </w:tc>
      </w:tr>
      <w:tr>
        <w:trPr/>
        <w:tc>
          <w:tcPr>
            <w:tcW w:w="67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Total estimado</w:t>
            </w:r>
          </w:p>
        </w:tc>
        <w:tc>
          <w:tcPr>
            <w:tcW w:w="10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6,0 horas</w:t>
            </w:r>
          </w:p>
        </w:tc>
      </w:tr>
    </w:tbl>
    <w:p>
      <w:pPr>
        <w:pStyle w:val="Heading2"/>
        <w:numPr>
          <w:ilvl w:val="0"/>
          <w:numId w:val="0"/>
        </w:numPr>
        <w:pBdr/>
        <w:bidi w:val="0"/>
        <w:spacing w:before="330" w:after="120"/>
        <w:jc w:val="start"/>
        <w:rPr/>
      </w:pPr>
      <w:r>
        <w:rPr/>
        <w:t>Valorización</w:t>
      </w:r>
    </w:p>
    <w:tbl>
      <w:tblPr>
        <w:tblW w:w="472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745"/>
        <w:gridCol w:w="1975"/>
      </w:tblGrid>
      <w:tr>
        <w:trPr/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Tarifa desarrollador senior</w:t>
            </w:r>
          </w:p>
        </w:tc>
        <w:tc>
          <w:tcPr>
            <w:tcW w:w="19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$40.000 CLP/hora</w:t>
            </w:r>
          </w:p>
        </w:tc>
      </w:tr>
      <w:tr>
        <w:trPr/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Valor neto</w:t>
            </w:r>
          </w:p>
        </w:tc>
        <w:tc>
          <w:tcPr>
            <w:tcW w:w="19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$240.000 CLP</w:t>
            </w:r>
          </w:p>
        </w:tc>
      </w:tr>
      <w:tr>
        <w:trPr/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IVA (19 %)</w:t>
            </w:r>
          </w:p>
        </w:tc>
        <w:tc>
          <w:tcPr>
            <w:tcW w:w="19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$45.600 CLP</w:t>
            </w:r>
          </w:p>
        </w:tc>
      </w:tr>
      <w:tr>
        <w:trPr/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Total con IVA</w:t>
            </w:r>
          </w:p>
        </w:tc>
        <w:tc>
          <w:tcPr>
            <w:tcW w:w="19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$285.600 CLP</w:t>
            </w:r>
          </w:p>
        </w:tc>
      </w:tr>
    </w:tbl>
    <w:p>
      <w:pPr>
        <w:pStyle w:val="BodyTextnota"/>
        <w:bidi w:val="0"/>
        <w:jc w:val="start"/>
        <w:rPr/>
      </w:pPr>
      <w:r>
        <w:rPr/>
        <w:t>La estimación aprovecha el registro de deudas, la generación de cuotas y la infraestructura de correo existentes. Considera implementación en PHP/MySQL, validación en staging y publicación posterior a su aprobación.</w:t>
      </w:r>
    </w:p>
    <w:p>
      <w:pPr>
        <w:pStyle w:val="Heading2"/>
        <w:numPr>
          <w:ilvl w:val="0"/>
          <w:numId w:val="0"/>
        </w:numPr>
        <w:pBdr/>
        <w:bidi w:val="0"/>
        <w:spacing w:before="330" w:after="120"/>
        <w:jc w:val="start"/>
        <w:rPr/>
      </w:pPr>
      <w:r>
        <w:rPr/>
        <w:t>Detalle para registrar en la Intranet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shd w:fill="FAFAFA" w:val="clear"/>
        </w:rPr>
        <w:t>Automatización de recordatorios de deuda para socios desde el primer mes de atraso, incluyendo detalle de cuotas y monto pendiente. A partir de cuatro meses de deuda se comunicará la pérdida de beneficios y se enviará a la Directiva un informe consolidado de los miembros afectados. Incluye cálculo de antigüedad, plantillas de correo, destinatarios según roles, registro de envíos, prevención de duplicados, tarea programada, pruebas en staging y publicación.</w:t>
        <w:br/>
        <w:br/>
      </w:r>
      <w:r>
        <w:rPr>
          <w:rStyle w:val="Strong"/>
          <w:shd w:fill="FAFAFA" w:val="clear"/>
        </w:rPr>
        <w:t>Tiempo estimado:</w:t>
      </w:r>
      <w:r>
        <w:rPr>
          <w:shd w:fill="FAFAFA" w:val="clear"/>
        </w:rPr>
        <w:t xml:space="preserve"> 6 horas.</w:t>
        <w:br/>
      </w:r>
      <w:r>
        <w:rPr>
          <w:rStyle w:val="Strong"/>
          <w:shd w:fill="FAFAFA" w:val="clear"/>
        </w:rPr>
        <w:t>Valor estimado:</w:t>
      </w:r>
      <w:r>
        <w:rPr>
          <w:shd w:fill="FAFAFA" w:val="clear"/>
        </w:rPr>
        <w:t xml:space="preserve"> $240.000 CLP netos.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sans-serif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48"/>
    </w:pPr>
    <w:rPr>
      <w:rFonts w:ascii="Arial;sans-serif" w:hAnsi="Arial;sans-serif" w:eastAsia="Arial;sans-serif" w:cs="Arial;sans-serif"/>
      <w:color w:val="222222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60"/>
    </w:pPr>
    <w:rPr>
      <w:b/>
      <w:bCs/>
      <w:color w:val="17365D"/>
      <w:sz w:val="40"/>
      <w:szCs w:val="40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pBdr>
        <w:bottom w:val="single" w:sz="2" w:space="3" w:color="B8C8D8"/>
      </w:pBdr>
      <w:spacing w:before="330" w:after="120"/>
      <w:outlineLvl w:val="1"/>
    </w:pPr>
    <w:rPr>
      <w:rFonts w:ascii="Liberation Serif" w:hAnsi="Liberation Serif" w:eastAsia="Noto Serif CJK SC" w:cs="Noto Sans Devanagari"/>
      <w:b/>
      <w:bCs/>
      <w:color w:val="245B84"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subtitulo">
    <w:name w:val="Body Text.subtitulo"/>
    <w:basedOn w:val="BodyText"/>
    <w:qFormat/>
    <w:pPr/>
    <w:rPr>
      <w:color w:val="666666"/>
    </w:rPr>
  </w:style>
  <w:style w:type="paragraph" w:styleId="TableHeading">
    <w:name w:val="Table Heading"/>
    <w:basedOn w:val="TableContents"/>
    <w:qFormat/>
    <w:pPr>
      <w:suppressLineNumbers/>
      <w:jc w:val="start"/>
    </w:pPr>
    <w:rPr>
      <w:b/>
      <w:bCs/>
      <w:color w:val="FFFFFF"/>
    </w:rPr>
  </w:style>
  <w:style w:type="paragraph" w:styleId="BodyTextnota">
    <w:name w:val="Body Text.nota"/>
    <w:basedOn w:val="BodyText"/>
    <w:qFormat/>
    <w:pPr/>
    <w:rPr>
      <w:color w:val="555555"/>
      <w:sz w:val="19"/>
      <w:szCs w:val="19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1</Pages>
  <Words>587</Words>
  <Characters>3234</Characters>
  <CharactersWithSpaces>3761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Presupuesto — Recordatorios automáticos de deudas RAMUCH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