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sz w:val="22"/>
        </w:rPr>
        <w:t>Manual de proveedores</w:t>
      </w:r>
    </w:p>
    <w:p>
      <w:r>
        <w:rPr>
          <w:sz w:val="22"/>
        </w:rPr>
        <w:t>Este manual describe el circuito de alta.</w:t>
      </w:r>
    </w:p>
    <w:p>
      <w:pPr>
        <w:rPr>
          <w:b/>
          <w:sz w:val="32"/>
        </w:rPr>
      </w:pPr>
      <w:r>
        <w:rPr>
          <w:b/>
          <w:sz w:val="32"/>
        </w:rPr>
        <w:t>Alta de un proveedor</w:t>
      </w:r>
    </w:p>
    <w:p>
      <w:r>
        <w:rPr>
          <w:sz w:val="22"/>
        </w:rPr>
        <w:t>Pedir la documentacion y verificar el CUIT.</w:t>
      </w:r>
    </w:p>
    <w:p>
      <w:r>
        <w:drawing>
          <wp:inline>
            <wp:extent cx="9525" cy="9525"/>
            <a:graphic>
              <a:graphicData uri="http://schemas.openxmlformats.org/drawingml/2006/picture">
                <pic:pic>
                  <pic:blipFill>
                    <a:blip r:embed="rId7"/>
                  </pic:blipFill>
                </pic:pic>
              </a:graphicData>
            </a:graphic>
          </wp:inline>
        </w:drawing>
      </w:r>
    </w:p>
    <w:p>
      <w:r>
        <w:rPr>
          <w:sz w:val="22"/>
        </w:rPr>
        <w:t>El sello se aplica en Legales.</w:t>
      </w:r>
    </w:p>
  </w:body>
</w:document>
</file>

<file path=word/_rels/document.xml.rels><?xml version="1.0" encoding="UTF-8" standalone="yes"?>
<Relationships xmlns="http://schemas.openxmlformats.org/package/2006/relationships">
<Relationship Id="rId7" Type="http://schemas.openxmlformats.org/officeDocument/2006/relationships/image" Target="media/sello.png"/>
</Relationships>
</file>