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600"/>
        <w:jc w:val="center"/>
      </w:pPr>
      <w:r>
        <w:rPr>
          <w:rFonts w:ascii="Arial" w:cs="Arial" w:eastAsia="Arial" w:hAnsi="Arial"/>
          <w:b/>
          <w:bCs/>
          <w:i/>
          <w:iCs/>
          <w:color w:val="E91E8C"/>
          <w:sz w:val="28"/>
          <w:szCs w:val="28"/>
        </w:rPr>
        <w:t xml:space="preserve">AXION</w:t>
      </w:r>
      <w:r>
        <w:rPr>
          <w:rFonts w:ascii="Arial" w:cs="Arial" w:eastAsia="Arial" w:hAnsi="Arial"/>
          <w:color w:val="666666"/>
          <w:sz w:val="20"/>
          <w:szCs w:val="20"/>
        </w:rPr>
        <w:br/>
        <w:t xml:space="preserve">
Smart Swiss Operations</w:t>
      </w:r>
    </w:p>
    <w:p>
      <w:pPr>
        <w:spacing w:after="100"/>
        <w:jc w:val="center"/>
      </w:pPr>
      <w:r>
        <w:rPr>
          <w:rFonts w:ascii="Arial" w:cs="Arial" w:eastAsia="Arial" w:hAnsi="Arial"/>
          <w:b/>
          <w:bCs/>
          <w:color w:val="1A1A1A"/>
          <w:sz w:val="56"/>
          <w:szCs w:val="56"/>
        </w:rPr>
        <w:t xml:space="preserve">OFFRE DE SERVICE</w:t>
      </w:r>
    </w:p>
    <w:p>
      <w:pPr>
        <w:spacing w:after="80"/>
        <w:jc w:val="center"/>
      </w:pPr>
      <w:r>
        <w:rPr>
          <w:rFonts w:ascii="Arial" w:cs="Arial" w:eastAsia="Arial" w:hAnsi="Arial"/>
          <w:b/>
          <w:bCs/>
          <w:color w:val="1A1A1A"/>
          <w:sz w:val="48"/>
          <w:szCs w:val="48"/>
        </w:rPr>
        <w:t xml:space="preserve">Projet ABAX Acceleration</w:t>
      </w:r>
    </w:p>
    <w:p>
      <w:pPr>
        <w:spacing w:after="400"/>
        <w:jc w:val="center"/>
      </w:pPr>
      <w:r>
        <w:rPr>
          <w:rFonts w:ascii="Arial" w:cs="Arial" w:eastAsia="Arial" w:hAnsi="Arial"/>
          <w:i/>
          <w:iCs/>
          <w:color w:val="666666"/>
          <w:sz w:val="26"/>
          <w:szCs w:val="26"/>
        </w:rPr>
        <w:t xml:space="preserve">Visibilité, Acquisition &amp; Performance Opérationnelle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Client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ABAX Info</w:t>
            </w:r>
          </w:p>
          <w:p>
            <w:r>
              <w:rPr>
                <w:rFonts w:ascii="Arial" w:cs="Arial" w:eastAsia="Arial" w:hAnsi="Arial"/>
                <w:color w:val="666666"/>
                <w:sz w:val="20"/>
                <w:szCs w:val="20"/>
              </w:rPr>
              <w:t xml:space="preserve">Informatique &amp; Services IT</w:t>
            </w:r>
          </w:p>
          <w:p>
            <w:r>
              <w:rPr>
                <w:rFonts w:ascii="Arial" w:cs="Arial" w:eastAsia="Arial" w:hAnsi="Arial"/>
                <w:color w:val="666666"/>
                <w:sz w:val="20"/>
                <w:szCs w:val="20"/>
              </w:rPr>
              <w:t xml:space="preserve">Suisse romande &amp; France</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Prestataire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AXION</w:t>
            </w:r>
          </w:p>
          <w:p>
            <w:r>
              <w:rPr>
                <w:rFonts w:ascii="Arial" w:cs="Arial" w:eastAsia="Arial" w:hAnsi="Arial"/>
                <w:color w:val="666666"/>
                <w:sz w:val="20"/>
                <w:szCs w:val="20"/>
              </w:rPr>
              <w:t xml:space="preserve">Smart Swiss Operations — Suisse romande</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Référence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AXION-ABAX-2026-001</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avril 2026</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Validité</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 jours</w:t>
            </w:r>
          </w:p>
        </w:tc>
      </w:tr>
    </w:tbl>
    <w:p>
      <w:pPr>
        <w:spacing w:after="100"/>
      </w:pPr>
    </w:p>
    <w:p>
      <w:pPr>
        <w:spacing w:after="100"/>
      </w:pPr>
    </w:p>
    <w:p>
      <w:pPr>
        <w:jc w:val="center"/>
      </w:pPr>
      <w:r>
        <w:rPr>
          <w:rFonts w:ascii="Arial" w:cs="Arial" w:eastAsia="Arial" w:hAnsi="Arial"/>
          <w:b/>
          <w:bCs/>
          <w:color w:val="E91E8C"/>
          <w:sz w:val="24"/>
          <w:szCs w:val="24"/>
        </w:rPr>
        <w:t xml:space="preserve">Modèle : Partenariat de Croissance</w:t>
      </w:r>
    </w:p>
    <w:p>
      <w:pPr>
        <w:jc w:val="center"/>
      </w:pPr>
      <w:r>
        <w:rPr>
          <w:rFonts w:ascii="Arial" w:cs="Arial" w:eastAsia="Arial" w:hAnsi="Arial"/>
          <w:i/>
          <w:iCs/>
          <w:color w:val="666666"/>
          <w:sz w:val="20"/>
          <w:szCs w:val="20"/>
        </w:rPr>
        <w:t xml:space="preserve">ABAX Info reste propriétaire de toutes les données et du CRM</w:t>
      </w:r>
    </w:p>
    <w:p>
      <w:r>
        <w:br w:type="page"/>
      </w:r>
    </w:p>
    <w:p>
      <w:pPr>
        <w:spacing w:after="300"/>
      </w:pPr>
      <w:r>
        <w:rPr>
          <w:rFonts w:ascii="Arial" w:cs="Arial" w:eastAsia="Arial" w:hAnsi="Arial"/>
          <w:b/>
          <w:bCs/>
          <w:color w:val="1A1A1A"/>
          <w:sz w:val="36"/>
          <w:szCs w:val="36"/>
        </w:rPr>
        <w:t xml:space="preserve">PARTIE 1 - OFFRE DE SERVICE</w:t>
      </w:r>
    </w:p>
    <w:p>
      <w:pPr>
        <w:pStyle w:val="Heading1"/>
        <w:spacing w:after="200" w:before="400"/>
      </w:pPr>
      <w:r>
        <w:rPr>
          <w:rFonts w:ascii="Arial" w:cs="Arial" w:eastAsia="Arial" w:hAnsi="Arial"/>
          <w:b/>
          <w:bCs/>
          <w:color w:val="E91E8C"/>
          <w:sz w:val="36"/>
          <w:szCs w:val="36"/>
        </w:rPr>
        <w:t xml:space="preserve">1. Contexte &amp; Enjeux</w:t>
      </w:r>
    </w:p>
    <w:p>
      <w:pPr>
        <w:spacing w:after="160"/>
      </w:pPr>
      <w:r>
        <w:rPr>
          <w:rFonts w:ascii="Arial" w:cs="Arial" w:eastAsia="Arial" w:hAnsi="Arial"/>
          <w:b w:val="false"/>
          <w:bCs w:val="false"/>
          <w:i w:val="false"/>
          <w:iCs w:val="false"/>
          <w:color w:val="1A1A1A"/>
          <w:sz w:val="22"/>
          <w:szCs w:val="22"/>
        </w:rPr>
        <w:t xml:space="preserve">ABAX Info, acteur reconnu des services informatiques en Suisse romande et en France, dispose d’une expertise technique solide et d’un taux de rétention client exceptionnel. L’entreprise n’a jamais perdu de clients pour des raisons de qualité de service.</w:t>
      </w:r>
    </w:p>
    <w:p>
      <w:pPr>
        <w:spacing w:after="160"/>
      </w:pPr>
      <w:r>
        <w:rPr>
          <w:rFonts w:ascii="Arial" w:cs="Arial" w:eastAsia="Arial" w:hAnsi="Arial"/>
          <w:b w:val="false"/>
          <w:bCs w:val="false"/>
          <w:i w:val="false"/>
          <w:iCs w:val="false"/>
          <w:color w:val="1A1A1A"/>
          <w:sz w:val="22"/>
          <w:szCs w:val="22"/>
        </w:rPr>
        <w:t xml:space="preserve">Pourtant, ABAX Info fait face à des défis stratégiques identifiés lors du Discovery Workshop du 5 mars 2026 et confirmés lors du suivi du 27 mars 2026 :</w:t>
      </w:r>
    </w:p>
    <w:p>
      <w:pPr>
        <w:pStyle w:val="Heading2"/>
        <w:spacing w:after="150" w:before="300"/>
      </w:pPr>
      <w:r>
        <w:rPr>
          <w:rFonts w:ascii="Arial" w:cs="Arial" w:eastAsia="Arial" w:hAnsi="Arial"/>
          <w:b/>
          <w:bCs/>
          <w:color w:val="1A1A1A"/>
          <w:sz w:val="28"/>
          <w:szCs w:val="28"/>
        </w:rPr>
        <w:t xml:space="preserve">Problématiques identifiées</w:t>
      </w:r>
    </w:p>
    <w:p>
      <w:pPr>
        <w:pStyle w:val="ListParagraph"/>
        <w:numPr>
          <w:ilvl w:val="0"/>
          <w:numId w:val="2"/>
        </w:numPr>
        <w:spacing w:after="80"/>
      </w:pPr>
      <w:r>
        <w:rPr>
          <w:rFonts w:ascii="Arial" w:cs="Arial" w:eastAsia="Arial" w:hAnsi="Arial"/>
          <w:b/>
          <w:bCs/>
          <w:color w:val="1A1A1A"/>
          <w:sz w:val="22"/>
          <w:szCs w:val="22"/>
        </w:rPr>
        <w:t xml:space="preserve">Visibilité insuffisante</w:t>
      </w:r>
      <w:r>
        <w:rPr>
          <w:rFonts w:ascii="Arial" w:cs="Arial" w:eastAsia="Arial" w:hAnsi="Arial"/>
          <w:color w:val="1A1A1A"/>
          <w:sz w:val="22"/>
          <w:szCs w:val="22"/>
        </w:rPr>
        <w:t xml:space="preserve"> — Site internet sous-optimisé pour le SEO/GEO, présence LinkedIn irrégulière, Google My Business non exploité</w:t>
      </w:r>
    </w:p>
    <w:p>
      <w:pPr>
        <w:pStyle w:val="ListParagraph"/>
        <w:numPr>
          <w:ilvl w:val="0"/>
          <w:numId w:val="2"/>
        </w:numPr>
        <w:spacing w:after="80"/>
      </w:pPr>
      <w:r>
        <w:rPr>
          <w:rFonts w:ascii="Arial" w:cs="Arial" w:eastAsia="Arial" w:hAnsi="Arial"/>
          <w:b/>
          <w:bCs/>
          <w:color w:val="1A1A1A"/>
          <w:sz w:val="22"/>
          <w:szCs w:val="22"/>
        </w:rPr>
        <w:t xml:space="preserve">Acquisition client non structurée</w:t>
      </w:r>
      <w:r>
        <w:rPr>
          <w:rFonts w:ascii="Arial" w:cs="Arial" w:eastAsia="Arial" w:hAnsi="Arial"/>
          <w:color w:val="1A1A1A"/>
          <w:sz w:val="22"/>
          <w:szCs w:val="22"/>
        </w:rPr>
        <w:t xml:space="preserve"> — Pas de système de prospection systématique ; dépendance au bouche-à-oreille</w:t>
      </w:r>
    </w:p>
    <w:p>
      <w:pPr>
        <w:pStyle w:val="ListParagraph"/>
        <w:numPr>
          <w:ilvl w:val="0"/>
          <w:numId w:val="2"/>
        </w:numPr>
        <w:spacing w:after="80"/>
      </w:pPr>
      <w:r>
        <w:rPr>
          <w:rFonts w:ascii="Arial" w:cs="Arial" w:eastAsia="Arial" w:hAnsi="Arial"/>
          <w:b/>
          <w:bCs/>
          <w:color w:val="1A1A1A"/>
          <w:sz w:val="22"/>
          <w:szCs w:val="22"/>
        </w:rPr>
        <w:t xml:space="preserve">Offre non standardisée</w:t>
      </w:r>
      <w:r>
        <w:rPr>
          <w:rFonts w:ascii="Arial" w:cs="Arial" w:eastAsia="Arial" w:hAnsi="Arial"/>
          <w:color w:val="1A1A1A"/>
          <w:sz w:val="22"/>
          <w:szCs w:val="22"/>
        </w:rPr>
        <w:t xml:space="preserve"> — Services ultra-personnalisés entraînant une perte de temps ; absence de catalogue structuré</w:t>
      </w:r>
    </w:p>
    <w:p>
      <w:pPr>
        <w:pStyle w:val="ListParagraph"/>
        <w:numPr>
          <w:ilvl w:val="0"/>
          <w:numId w:val="2"/>
        </w:numPr>
        <w:spacing w:after="80"/>
      </w:pPr>
      <w:r>
        <w:rPr>
          <w:rFonts w:ascii="Arial" w:cs="Arial" w:eastAsia="Arial" w:hAnsi="Arial"/>
          <w:b/>
          <w:bCs/>
          <w:color w:val="1A1A1A"/>
          <w:sz w:val="22"/>
          <w:szCs w:val="22"/>
        </w:rPr>
        <w:t xml:space="preserve">Manque de KPI opérationnels</w:t>
      </w:r>
      <w:r>
        <w:rPr>
          <w:rFonts w:ascii="Arial" w:cs="Arial" w:eastAsia="Arial" w:hAnsi="Arial"/>
          <w:color w:val="1A1A1A"/>
          <w:sz w:val="22"/>
          <w:szCs w:val="22"/>
        </w:rPr>
        <w:t xml:space="preserve"> — Impossibilité de mesurer la rentabilité des collaborateurs (ClickUP, Autotask)</w:t>
      </w:r>
    </w:p>
    <w:p>
      <w:pPr>
        <w:pStyle w:val="ListParagraph"/>
        <w:numPr>
          <w:ilvl w:val="0"/>
          <w:numId w:val="2"/>
        </w:numPr>
        <w:spacing w:after="80"/>
      </w:pPr>
      <w:r>
        <w:rPr>
          <w:rFonts w:ascii="Arial" w:cs="Arial" w:eastAsia="Arial" w:hAnsi="Arial"/>
          <w:b/>
          <w:bCs/>
          <w:color w:val="1A1A1A"/>
          <w:sz w:val="22"/>
          <w:szCs w:val="22"/>
        </w:rPr>
        <w:t xml:space="preserve">Base de connaissance absente</w:t>
      </w:r>
      <w:r>
        <w:rPr>
          <w:rFonts w:ascii="Arial" w:cs="Arial" w:eastAsia="Arial" w:hAnsi="Arial"/>
          <w:color w:val="1A1A1A"/>
          <w:sz w:val="22"/>
          <w:szCs w:val="22"/>
        </w:rPr>
        <w:t xml:space="preserve"> — Prérequis pour aligner équipes techniques et commerciales</w:t>
      </w:r>
    </w:p>
    <w:p>
      <w:r>
        <w:br w:type="page"/>
      </w:r>
    </w:p>
    <w:p>
      <w:pPr>
        <w:pStyle w:val="Heading1"/>
        <w:spacing w:after="200" w:before="400"/>
      </w:pPr>
      <w:r>
        <w:rPr>
          <w:rFonts w:ascii="Arial" w:cs="Arial" w:eastAsia="Arial" w:hAnsi="Arial"/>
          <w:b/>
          <w:bCs/>
          <w:color w:val="E91E8C"/>
          <w:sz w:val="36"/>
          <w:szCs w:val="36"/>
        </w:rPr>
        <w:t xml:space="preserve">2. Solution Proposée — 3 Piliers</w:t>
      </w:r>
    </w:p>
    <w:p>
      <w:pPr>
        <w:spacing w:after="160"/>
      </w:pPr>
      <w:r>
        <w:rPr>
          <w:rFonts w:ascii="Arial" w:cs="Arial" w:eastAsia="Arial" w:hAnsi="Arial"/>
          <w:b w:val="false"/>
          <w:bCs w:val="false"/>
          <w:i w:val="false"/>
          <w:iCs w:val="false"/>
          <w:color w:val="1A1A1A"/>
          <w:sz w:val="22"/>
          <w:szCs w:val="22"/>
        </w:rPr>
        <w:t xml:space="preserve">AXION propose un accompagnement structuré en 3 piliers complémentaires pour transformer ces défis en leviers de croissance.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sz w:val="36"/>
                <w:szCs w:val="36"/>
              </w:rPr>
              <w:t xml:space="preserve">🔍</w:t>
            </w:r>
          </w:p>
          <w:p>
            <w:pPr>
              <w:spacing w:after="60"/>
              <w:jc w:val="center"/>
            </w:pPr>
            <w:r>
              <w:rPr>
                <w:rFonts w:ascii="Arial" w:cs="Arial" w:eastAsia="Arial" w:hAnsi="Arial"/>
                <w:b/>
                <w:bCs/>
                <w:color w:val="0077B6"/>
                <w:sz w:val="24"/>
                <w:szCs w:val="24"/>
              </w:rPr>
              <w:t xml:space="preserve">Pilier 1</w:t>
            </w:r>
          </w:p>
          <w:p>
            <w:pPr>
              <w:spacing w:after="60"/>
              <w:jc w:val="center"/>
            </w:pPr>
            <w:r>
              <w:rPr>
                <w:rFonts w:ascii="Arial" w:cs="Arial" w:eastAsia="Arial" w:hAnsi="Arial"/>
                <w:b/>
                <w:bCs/>
                <w:color w:val="0077B6"/>
                <w:sz w:val="20"/>
                <w:szCs w:val="20"/>
              </w:rPr>
              <w:t xml:space="preserve">VISIBILITÉ</w:t>
            </w:r>
          </w:p>
          <w:p>
            <w:pPr>
              <w:spacing w:after="60"/>
              <w:jc w:val="center"/>
            </w:pPr>
            <w:r>
              <w:rPr>
                <w:rFonts w:ascii="Arial" w:cs="Arial" w:eastAsia="Arial" w:hAnsi="Arial"/>
                <w:color w:val="666666"/>
                <w:sz w:val="18"/>
                <w:szCs w:val="18"/>
              </w:rPr>
              <w:t xml:space="preserve">Rayonnement &amp; Réputation</w:t>
            </w:r>
          </w:p>
          <w:p>
            <w:pPr>
              <w:spacing w:after="40"/>
              <w:jc w:val="center"/>
            </w:pPr>
            <w:r>
              <w:rPr>
                <w:rFonts w:ascii="Arial" w:cs="Arial" w:eastAsia="Arial" w:hAnsi="Arial"/>
                <w:b/>
                <w:bCs/>
                <w:color w:val="0077B6"/>
                <w:sz w:val="26"/>
                <w:szCs w:val="26"/>
              </w:rPr>
              <w:t xml:space="preserve">445 CHF/mois</w:t>
            </w:r>
          </w:p>
          <w:p>
            <w:pPr>
              <w:jc w:val="center"/>
            </w:pPr>
            <w:r>
              <w:rPr>
                <w:rFonts w:ascii="Arial" w:cs="Arial" w:eastAsia="Arial" w:hAnsi="Arial"/>
                <w:color w:val="666666"/>
                <w:sz w:val="16"/>
                <w:szCs w:val="16"/>
              </w:rPr>
              <w:t xml:space="preserve">au lieu de 900 CHF/mois *</w:t>
            </w:r>
          </w:p>
        </w:tc>
        <w:tc>
          <w:tcPr>
            <w:tcW w:type="dxa" w:w="3009"/>
            <w:tcBorders>
              <w:top w:val="single" w:color="CCCCCC" w:sz="1"/>
              <w:left w:val="single" w:color="CCCCCC" w:sz="1"/>
              <w:bottom w:val="single" w:color="CCCCCC" w:sz="1"/>
              <w:right w:val="single" w:color="CCCCCC" w:sz="1"/>
            </w:tcBorders>
            <w:shd w:fill="E8F8EF" w:val="clear"/>
            <w:tcMar>
              <w:top w:type="dxa" w:w="80"/>
              <w:left w:type="dxa" w:w="120"/>
              <w:bottom w:type="dxa" w:w="80"/>
              <w:right w:type="dxa" w:w="120"/>
            </w:tcMar>
          </w:tcPr>
          <w:p>
            <w:pPr>
              <w:jc w:val="center"/>
            </w:pPr>
            <w:r>
              <w:rPr>
                <w:sz w:val="36"/>
                <w:szCs w:val="36"/>
              </w:rPr>
              <w:t xml:space="preserve">🚀</w:t>
            </w:r>
          </w:p>
          <w:p>
            <w:pPr>
              <w:spacing w:after="60"/>
              <w:jc w:val="center"/>
            </w:pPr>
            <w:r>
              <w:rPr>
                <w:rFonts w:ascii="Arial" w:cs="Arial" w:eastAsia="Arial" w:hAnsi="Arial"/>
                <w:b/>
                <w:bCs/>
                <w:color w:val="00A86B"/>
                <w:sz w:val="24"/>
                <w:szCs w:val="24"/>
              </w:rPr>
              <w:t xml:space="preserve">Pilier 2</w:t>
            </w:r>
          </w:p>
          <w:p>
            <w:pPr>
              <w:spacing w:after="60"/>
              <w:jc w:val="center"/>
            </w:pPr>
            <w:r>
              <w:rPr>
                <w:rFonts w:ascii="Arial" w:cs="Arial" w:eastAsia="Arial" w:hAnsi="Arial"/>
                <w:b/>
                <w:bCs/>
                <w:color w:val="00A86B"/>
                <w:sz w:val="20"/>
                <w:szCs w:val="20"/>
              </w:rPr>
              <w:t xml:space="preserve">CROISSANCE</w:t>
            </w:r>
          </w:p>
          <w:p>
            <w:pPr>
              <w:spacing w:after="60"/>
              <w:jc w:val="center"/>
            </w:pPr>
            <w:r>
              <w:rPr>
                <w:rFonts w:ascii="Arial" w:cs="Arial" w:eastAsia="Arial" w:hAnsi="Arial"/>
                <w:color w:val="666666"/>
                <w:sz w:val="18"/>
                <w:szCs w:val="18"/>
              </w:rPr>
              <w:t xml:space="preserve">Système d’Acquisition</w:t>
            </w:r>
          </w:p>
          <w:p>
            <w:pPr>
              <w:spacing w:after="40"/>
              <w:jc w:val="center"/>
            </w:pPr>
            <w:r>
              <w:rPr>
                <w:rFonts w:ascii="Arial" w:cs="Arial" w:eastAsia="Arial" w:hAnsi="Arial"/>
                <w:b/>
                <w:bCs/>
                <w:color w:val="00A86B"/>
                <w:sz w:val="26"/>
                <w:szCs w:val="26"/>
              </w:rPr>
              <w:t xml:space="preserve">20 % commission</w:t>
            </w:r>
          </w:p>
          <w:p>
            <w:pPr>
              <w:jc w:val="center"/>
            </w:pPr>
            <w:r>
              <w:rPr>
                <w:rFonts w:ascii="Arial" w:cs="Arial" w:eastAsia="Arial" w:hAnsi="Arial"/>
                <w:color w:val="666666"/>
                <w:sz w:val="16"/>
                <w:szCs w:val="16"/>
              </w:rPr>
              <w:t xml:space="preserve">sur chaque client signé</w:t>
            </w:r>
          </w:p>
        </w:tc>
        <w:tc>
          <w:tcPr>
            <w:tcW w:type="dxa" w:w="3008"/>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sz w:val="36"/>
                <w:szCs w:val="36"/>
              </w:rPr>
              <w:t xml:space="preserve">📊</w:t>
            </w:r>
          </w:p>
          <w:p>
            <w:pPr>
              <w:spacing w:after="60"/>
              <w:jc w:val="center"/>
            </w:pPr>
            <w:r>
              <w:rPr>
                <w:rFonts w:ascii="Arial" w:cs="Arial" w:eastAsia="Arial" w:hAnsi="Arial"/>
                <w:b/>
                <w:bCs/>
                <w:color w:val="E6A200"/>
                <w:sz w:val="24"/>
                <w:szCs w:val="24"/>
              </w:rPr>
              <w:t xml:space="preserve">Pilier 3</w:t>
            </w:r>
          </w:p>
          <w:p>
            <w:pPr>
              <w:spacing w:after="60"/>
              <w:jc w:val="center"/>
            </w:pPr>
            <w:r>
              <w:rPr>
                <w:rFonts w:ascii="Arial" w:cs="Arial" w:eastAsia="Arial" w:hAnsi="Arial"/>
                <w:b/>
                <w:bCs/>
                <w:color w:val="E6A200"/>
                <w:sz w:val="20"/>
                <w:szCs w:val="20"/>
              </w:rPr>
              <w:t xml:space="preserve">OPÉRATIONS</w:t>
            </w:r>
          </w:p>
          <w:p>
            <w:pPr>
              <w:spacing w:after="60"/>
              <w:jc w:val="center"/>
            </w:pPr>
            <w:r>
              <w:rPr>
                <w:rFonts w:ascii="Arial" w:cs="Arial" w:eastAsia="Arial" w:hAnsi="Arial"/>
                <w:color w:val="666666"/>
                <w:sz w:val="18"/>
                <w:szCs w:val="18"/>
              </w:rPr>
              <w:t xml:space="preserve">KPI &amp; Performance</w:t>
            </w:r>
          </w:p>
          <w:p>
            <w:pPr>
              <w:spacing w:after="40"/>
              <w:jc w:val="center"/>
            </w:pPr>
            <w:r>
              <w:rPr>
                <w:rFonts w:ascii="Arial" w:cs="Arial" w:eastAsia="Arial" w:hAnsi="Arial"/>
                <w:b/>
                <w:bCs/>
                <w:color w:val="E6A200"/>
                <w:sz w:val="26"/>
                <w:szCs w:val="26"/>
              </w:rPr>
              <w:t xml:space="preserve">À définir</w:t>
            </w:r>
          </w:p>
          <w:p>
            <w:pPr>
              <w:jc w:val="center"/>
            </w:pPr>
            <w:r>
              <w:rPr>
                <w:rFonts w:ascii="Arial" w:cs="Arial" w:eastAsia="Arial" w:hAnsi="Arial"/>
                <w:color w:val="666666"/>
                <w:sz w:val="16"/>
                <w:szCs w:val="16"/>
              </w:rPr>
              <w:t xml:space="preserve">démarrage juin 2026</w:t>
            </w:r>
          </w:p>
        </w:tc>
      </w:tr>
    </w:tbl>
    <w:p>
      <w:pPr>
        <w:spacing w:after="100"/>
      </w:pPr>
    </w:p>
    <w:p>
      <w:pPr>
        <w:pStyle w:val="Heading2"/>
        <w:spacing w:after="150" w:before="300"/>
      </w:pPr>
      <w:r>
        <w:rPr>
          <w:rFonts w:ascii="Arial" w:cs="Arial" w:eastAsia="Arial" w:hAnsi="Arial"/>
          <w:b/>
          <w:bCs/>
          <w:color w:val="1A1A1A"/>
          <w:sz w:val="28"/>
          <w:szCs w:val="28"/>
        </w:rPr>
        <w:t xml:space="preserve">Pilier 1 — Visibilité &amp; Rayonnement</w:t>
      </w:r>
    </w:p>
    <w:p>
      <w:pPr>
        <w:spacing w:after="160"/>
      </w:pPr>
      <w:r>
        <w:rPr>
          <w:rFonts w:ascii="Arial" w:cs="Arial" w:eastAsia="Arial" w:hAnsi="Arial"/>
          <w:b w:val="false"/>
          <w:bCs w:val="false"/>
          <w:i w:val="false"/>
          <w:iCs w:val="false"/>
          <w:color w:val="1A1A1A"/>
          <w:sz w:val="22"/>
          <w:szCs w:val="22"/>
        </w:rPr>
        <w:t xml:space="preserve">L’objectif est de positionner ABAX Info comme la référence en services IT pour les PME de Suisse romande, en exploitant l’ensemble des canaux de visibilité numérique.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20"/>
                <w:szCs w:val="20"/>
              </w:rPr>
              <w:t xml:space="preserve">Composante</w:t>
            </w:r>
          </w:p>
        </w:tc>
        <w:tc>
          <w:tcPr>
            <w:tcW w:type="dxa" w:w="6526"/>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SEO &amp; GEO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Diagnostic détaillé (livré), plan d’action 90 jours, optimisation continue du site internet, structure de contenu alignée sur les moteurs de recherche et les LLM (ChatGPT, Gemini, Claude)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Google My Business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Optimisation de la fiche, gestion des avis, SEO local pour maximiser la visibilité régionale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LinkedIn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Stratégie éditoriale, création d’au minimum 1 publication/semaine, régularité pour nourrir l’algorithme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Blog &amp; Contenu</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Alimentation régulière du site avec des articles optimisés SEO, planification mensuelle glissante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Reporting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Suivi mensuel des indicateurs de visibilité (trafic, positions, engagement LinkedIn)</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A86B" w:sz="2"/>
              <w:left w:val="single" w:color="00A86B" w:sz="2"/>
              <w:bottom w:val="single" w:color="00A86B" w:sz="2"/>
              <w:right w:val="single" w:color="00A86B" w:sz="2"/>
            </w:tcBorders>
            <w:shd w:fill="E8F8EF" w:val="clear"/>
            <w:tcMar>
              <w:top w:type="dxa" w:w="160"/>
              <w:left w:type="dxa" w:w="240"/>
              <w:bottom w:type="dxa" w:w="160"/>
              <w:right w:type="dxa" w:w="240"/>
            </w:tcMar>
          </w:tcPr>
          <w:p>
            <w:pPr>
              <w:spacing w:after="80"/>
            </w:pPr>
            <w:r>
              <w:rPr>
                <w:rFonts w:ascii="Arial" w:cs="Arial" w:eastAsia="Arial" w:hAnsi="Arial"/>
                <w:color w:val="666666"/>
                <w:sz w:val="22"/>
                <w:szCs w:val="22"/>
              </w:rPr>
              <w:t xml:space="preserve">Tarif standard : </w:t>
            </w:r>
            <w:r>
              <w:rPr>
                <w:rFonts w:ascii="Arial" w:cs="Arial" w:eastAsia="Arial" w:hAnsi="Arial"/>
                <w:strike/>
                <w:color w:val="666666"/>
                <w:sz w:val="22"/>
                <w:szCs w:val="22"/>
              </w:rPr>
              <w:t xml:space="preserve">900 CHF/mois</w:t>
            </w:r>
            <w:r>
              <w:rPr>
                <w:rFonts w:ascii="Arial" w:cs="Arial" w:eastAsia="Arial" w:hAnsi="Arial"/>
                <w:sz w:val="22"/>
                <w:szCs w:val="22"/>
              </w:rPr>
              <w:t xml:space="preserve">  →  </w:t>
            </w:r>
            <w:r>
              <w:rPr>
                <w:rFonts w:ascii="Arial" w:cs="Arial" w:eastAsia="Arial" w:hAnsi="Arial"/>
                <w:b/>
                <w:bCs/>
                <w:color w:val="00A86B"/>
                <w:sz w:val="26"/>
                <w:szCs w:val="26"/>
              </w:rPr>
              <w:t xml:space="preserve">Tarif partenaire : 445 CHF/mois</w:t>
            </w:r>
            <w:r>
              <w:rPr>
                <w:rFonts w:ascii="Arial" w:cs="Arial" w:eastAsia="Arial" w:hAnsi="Arial"/>
                <w:color w:val="00A86B"/>
                <w:sz w:val="20"/>
                <w:szCs w:val="20"/>
              </w:rPr>
              <w:t xml:space="preserve">  (économie de 50 %)</w:t>
            </w:r>
          </w:p>
          <w:p>
            <w:r>
              <w:rPr>
                <w:rFonts w:ascii="Arial" w:cs="Arial" w:eastAsia="Arial" w:hAnsi="Arial"/>
                <w:i/>
                <w:iCs/>
                <w:color w:val="666666"/>
                <w:sz w:val="18"/>
                <w:szCs w:val="18"/>
              </w:rPr>
              <w:t xml:space="preserve">* Le tarif préférentiel de 445 CHF/mois s’applique jusqu’à la signature du premier contrat client généré par le système d’acquisition (Pilier 2). Le tarif revient ensuite à 900 CHF/mois.</w:t>
            </w:r>
          </w:p>
        </w:tc>
      </w:tr>
    </w:tbl>
    <w:p>
      <w:r>
        <w:br w:type="page"/>
      </w:r>
    </w:p>
    <w:p>
      <w:pPr>
        <w:pStyle w:val="Heading2"/>
        <w:spacing w:after="150" w:before="300"/>
      </w:pPr>
      <w:r>
        <w:rPr>
          <w:rFonts w:ascii="Arial" w:cs="Arial" w:eastAsia="Arial" w:hAnsi="Arial"/>
          <w:b/>
          <w:bCs/>
          <w:color w:val="1A1A1A"/>
          <w:sz w:val="28"/>
          <w:szCs w:val="28"/>
        </w:rPr>
        <w:t xml:space="preserve">Pilier 2 — Croissance &amp; Acquisition</w:t>
      </w:r>
    </w:p>
    <w:p>
      <w:pPr>
        <w:spacing w:after="160"/>
      </w:pPr>
      <w:r>
        <w:rPr>
          <w:rFonts w:ascii="Arial" w:cs="Arial" w:eastAsia="Arial" w:hAnsi="Arial"/>
          <w:b w:val="false"/>
          <w:bCs w:val="false"/>
          <w:i w:val="false"/>
          <w:iCs w:val="false"/>
          <w:color w:val="1A1A1A"/>
          <w:sz w:val="22"/>
          <w:szCs w:val="22"/>
        </w:rPr>
        <w:t xml:space="preserve">Mise en place d’un système d’acquisition automatisé permettant à ABAX Info de générer un flux continu de prospects qualifiés, sans dépendance à une agence externe et en conservant la pleine maîtrise du CRM et du scoring.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20"/>
                <w:szCs w:val="20"/>
              </w:rPr>
              <w:t xml:space="preserve">Composante</w:t>
            </w:r>
          </w:p>
        </w:tc>
        <w:tc>
          <w:tcPr>
            <w:tcW w:type="dxa" w:w="6526"/>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Sourcing de prospects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Identification automatisée de prospects qualifiés (ICP/persona) dans la région cible — dirigeants de PME, Suisse romande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Scoring &amp; Qualification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Système de scoring intelligent basé sur les briques technologiques d’ABAX Info et le profil du prospect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Séquences d’emails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Séquences automatisées, personnalisées et codifiées pour maximiser le taux de conversion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CRM &amp; Pipeline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Mise en place et alimentation du CRM — ABAX Info reste propriétaire de toutes les données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Réactivation base existante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Exploitation de la base clients actuelle pour détecter des opportunités d’upsell et réactiver d’anciens contacts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Reporting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Suivi de la performance des canaux d’acquisition, optimisation continue du tunnel de conversion</w:t>
            </w:r>
          </w:p>
        </w:tc>
      </w:tr>
    </w:tbl>
    <w:p>
      <w:pPr>
        <w:spacing w:after="100"/>
      </w:pPr>
    </w:p>
    <w:p>
      <w:pPr>
        <w:pStyle w:val="Heading2"/>
        <w:spacing w:after="150" w:before="300"/>
      </w:pPr>
      <w:r>
        <w:rPr>
          <w:rFonts w:ascii="Arial" w:cs="Arial" w:eastAsia="Arial" w:hAnsi="Arial"/>
          <w:b/>
          <w:bCs/>
          <w:color w:val="1A1A1A"/>
          <w:sz w:val="28"/>
          <w:szCs w:val="28"/>
        </w:rPr>
        <w:t xml:space="preserve">Modèle économique — Commission sur résultats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20"/>
                <w:szCs w:val="20"/>
              </w:rPr>
              <w:t xml:space="preserve">Élément</w:t>
            </w:r>
          </w:p>
        </w:tc>
        <w:tc>
          <w:tcPr>
            <w:tcW w:type="dxa" w:w="6026"/>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20"/>
                <w:szCs w:val="20"/>
              </w:rPr>
              <w:t xml:space="preserve">Condition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Coût de setup</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CHF 0.- — Aucun frais d’installation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Commission par nouveau client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20 % du chiffre d’affaires facturé pour chaque nouveau client signé grâce au système d’acquisition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Durée de la commission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Pendant toute la durée de vie du contrat client — tant que le client généré reste facturé par ABAX Info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Périmètre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Uniquement les nouveaux clients directement attribuables au système d’acquisition AXION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966" w:sz="1"/>
              <w:left w:val="single" w:color="FFD966" w:sz="1"/>
              <w:bottom w:val="single" w:color="FFD966" w:sz="1"/>
              <w:right w:val="single" w:color="FFD966" w:sz="1"/>
            </w:tcBorders>
            <w:shd w:fill="FFF8E1" w:val="clear"/>
            <w:tcMar>
              <w:top w:type="dxa" w:w="120"/>
              <w:left w:type="dxa" w:w="200"/>
              <w:bottom w:type="dxa" w:w="120"/>
              <w:right w:type="dxa" w:w="200"/>
            </w:tcMar>
          </w:tcPr>
          <w:p>
            <w:r>
              <w:rPr>
                <w:rFonts w:ascii="Arial" w:cs="Arial" w:eastAsia="Arial" w:hAnsi="Arial"/>
                <w:i/>
                <w:iCs/>
                <w:color w:val="1A1A1A"/>
                <w:sz w:val="20"/>
                <w:szCs w:val="20"/>
              </w:rPr>
              <w:t xml:space="preserve">Alignement gagnant-gagnant : Ce modèle garantit qu’AXION n’est rémunéré que lorsque le système génère des résultats concrets pour ABAX Info. La commission de 20 % est cohérente avec les pratiques du marché (15-35 % pour les apporteurs d’affaires classiques) tout en offrant un service complet et continu bien supérieur à un simple apport d’affaires ponctuel.</w:t>
            </w:r>
          </w:p>
        </w:tc>
      </w:tr>
    </w:tbl>
    <w:p>
      <w:pPr>
        <w:spacing w:after="100"/>
      </w:pPr>
    </w:p>
    <w:p>
      <w:pPr>
        <w:pStyle w:val="Heading2"/>
        <w:spacing w:after="150" w:before="300"/>
      </w:pPr>
      <w:r>
        <w:rPr>
          <w:rFonts w:ascii="Arial" w:cs="Arial" w:eastAsia="Arial" w:hAnsi="Arial"/>
          <w:b/>
          <w:bCs/>
          <w:color w:val="1A1A1A"/>
          <w:sz w:val="28"/>
          <w:szCs w:val="28"/>
        </w:rPr>
        <w:t xml:space="preserve">Pilier 3 — Opérations &amp; Performance</w:t>
      </w:r>
    </w:p>
    <w:p>
      <w:pPr>
        <w:spacing w:after="160"/>
      </w:pPr>
      <w:r>
        <w:rPr>
          <w:rFonts w:ascii="Arial" w:cs="Arial" w:eastAsia="Arial" w:hAnsi="Arial"/>
          <w:b w:val="false"/>
          <w:bCs w:val="false"/>
          <w:i w:val="false"/>
          <w:iCs w:val="false"/>
          <w:color w:val="1A1A1A"/>
          <w:sz w:val="22"/>
          <w:szCs w:val="22"/>
        </w:rPr>
        <w:t xml:space="preserve">Mise en place d’un tableau de bord opérationnel basé sur les données existantes (ClickUP et Autotask) pour mesurer la rentabilité des collaborateurs, identifier les besoins en formation et piloter l’activité.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20"/>
                <w:szCs w:val="20"/>
              </w:rPr>
              <w:t xml:space="preserve">Composante</w:t>
            </w:r>
          </w:p>
        </w:tc>
        <w:tc>
          <w:tcPr>
            <w:tcW w:type="dxa" w:w="6526"/>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KPI Collaborateurs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Rentabilité, temps passé par type d’intervention, potentiel de progression, besoins en formation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KPI Service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Temps de réponse aux tickets, satisfaction client, volume d’incidents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Reporting client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Statut mensuel automatisé à destination des clients d’ABAX Info — valeur perçue et rétention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Base de connaissance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Prérequis : structuration du catalogue de services en briques technologiques et de service (3 niveaux)</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966" w:sz="1"/>
              <w:left w:val="single" w:color="FFD966" w:sz="1"/>
              <w:bottom w:val="single" w:color="FFD966" w:sz="1"/>
              <w:right w:val="single" w:color="FFD966" w:sz="1"/>
            </w:tcBorders>
            <w:shd w:fill="FFF8E1" w:val="clear"/>
            <w:tcMar>
              <w:top w:type="dxa" w:w="120"/>
              <w:left w:type="dxa" w:w="200"/>
              <w:bottom w:type="dxa" w:w="120"/>
              <w:right w:type="dxa" w:w="200"/>
            </w:tcMar>
          </w:tcPr>
          <w:p>
            <w:r>
              <w:rPr>
                <w:rFonts w:ascii="Arial" w:cs="Arial" w:eastAsia="Arial" w:hAnsi="Arial"/>
                <w:i/>
                <w:iCs/>
                <w:color w:val="1A1A1A"/>
                <w:sz w:val="20"/>
                <w:szCs w:val="20"/>
              </w:rPr>
              <w:t xml:space="preserve">Démarrage en juin 2026 : Le Pilier 3 sera défini en détail lors d’un atelier dédié. Les KPI découleront naturellement de la mise en place de la base de connaissance. Approche itérative : d’abord des chiffres bruts pour l’analyse, puis des recommandations prescriptives.</w:t>
            </w:r>
          </w:p>
        </w:tc>
      </w:tr>
    </w:tbl>
    <w:p>
      <w:r>
        <w:br w:type="page"/>
      </w:r>
    </w:p>
    <w:p>
      <w:pPr>
        <w:pStyle w:val="Heading1"/>
        <w:spacing w:after="200" w:before="400"/>
      </w:pPr>
      <w:r>
        <w:rPr>
          <w:rFonts w:ascii="Arial" w:cs="Arial" w:eastAsia="Arial" w:hAnsi="Arial"/>
          <w:b/>
          <w:bCs/>
          <w:color w:val="E91E8C"/>
          <w:sz w:val="36"/>
          <w:szCs w:val="36"/>
        </w:rPr>
        <w:t xml:space="preserve">3. Planning &amp; Jalons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20"/>
                <w:szCs w:val="20"/>
              </w:rPr>
              <w:t xml:space="preserve">Phase</w:t>
            </w:r>
          </w:p>
        </w:tc>
        <w:tc>
          <w:tcPr>
            <w:tcW w:type="dxa" w:w="3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20"/>
                <w:szCs w:val="20"/>
              </w:rPr>
              <w:t xml:space="preserve">Date</w:t>
            </w:r>
          </w:p>
        </w:tc>
        <w:tc>
          <w:tcPr>
            <w:tcW w:type="dxa" w:w="3526"/>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20"/>
                <w:szCs w:val="20"/>
              </w:rPr>
              <w:t xml:space="preserve">Livrables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Signature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Avril 2026</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Contrat et kickoff planning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Lancement P1 + P2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Avril 2026</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Activation SEO/GEO, GMB, LinkedIn, setup CRM, sourcing 30 premiers prospects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Présentation équipe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Mai 2026</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Atelier interne, communication feuille de route simplifiée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Lancement P3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Juin 2026</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Atelier KPI, connexion ClickUP + Autotask, premiers dashboards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Objectif rentrée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Septembre 2026</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 piliers actifs et mesurables, flux de leads qualifiés en continu</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966" w:sz="1"/>
              <w:left w:val="single" w:color="FFD966" w:sz="1"/>
              <w:bottom w:val="single" w:color="FFD966" w:sz="1"/>
              <w:right w:val="single" w:color="FFD966" w:sz="1"/>
            </w:tcBorders>
            <w:shd w:fill="FFF8E1" w:val="clear"/>
            <w:tcMar>
              <w:top w:type="dxa" w:w="120"/>
              <w:left w:type="dxa" w:w="200"/>
              <w:bottom w:type="dxa" w:w="120"/>
              <w:right w:type="dxa" w:w="200"/>
            </w:tcMar>
          </w:tcPr>
          <w:p>
            <w:r>
              <w:rPr>
                <w:rFonts w:ascii="Arial" w:cs="Arial" w:eastAsia="Arial" w:hAnsi="Arial"/>
                <w:i/>
                <w:iCs/>
                <w:color w:val="1A1A1A"/>
                <w:sz w:val="20"/>
                <w:szCs w:val="20"/>
              </w:rPr>
              <w:t xml:space="preserve">🔄 Ateliers hebdomadaires : Un créneau fixe le vendredi de 10h à 12h est réservé pour les ateliers collaboratifs. Un espace client en ligne sera mis en place pour le partage des livrables, comptes-rendus et agendas.</w:t>
            </w:r>
          </w:p>
        </w:tc>
      </w:tr>
    </w:tbl>
    <w:p>
      <w:r>
        <w:br w:type="page"/>
      </w:r>
    </w:p>
    <w:p>
      <w:pPr>
        <w:pStyle w:val="Heading1"/>
        <w:spacing w:after="200" w:before="400"/>
      </w:pPr>
      <w:r>
        <w:rPr>
          <w:rFonts w:ascii="Arial" w:cs="Arial" w:eastAsia="Arial" w:hAnsi="Arial"/>
          <w:b/>
          <w:bCs/>
          <w:color w:val="E91E8C"/>
          <w:sz w:val="36"/>
          <w:szCs w:val="36"/>
        </w:rPr>
        <w:t xml:space="preserve">4. Investissement</w:t>
      </w:r>
    </w:p>
    <w:p>
      <w:pPr>
        <w:spacing w:after="160"/>
      </w:pPr>
      <w:r>
        <w:rPr>
          <w:rFonts w:ascii="Arial" w:cs="Arial" w:eastAsia="Arial" w:hAnsi="Arial"/>
          <w:b w:val="false"/>
          <w:bCs w:val="false"/>
          <w:i w:val="false"/>
          <w:iCs w:val="false"/>
          <w:color w:val="1A1A1A"/>
          <w:sz w:val="22"/>
          <w:szCs w:val="22"/>
        </w:rPr>
        <w:t xml:space="preserve">Le modèle économique est conçu pour minimiser le risque financier d’ABAX Info et aligner les intérêts des deux parties sur la croissance.</w:t>
      </w:r>
    </w:p>
    <w:p>
      <w:pPr>
        <w:pStyle w:val="Heading2"/>
        <w:spacing w:after="150" w:before="300"/>
      </w:pPr>
      <w:r>
        <w:rPr>
          <w:rFonts w:ascii="Arial" w:cs="Arial" w:eastAsia="Arial" w:hAnsi="Arial"/>
          <w:b/>
          <w:bCs/>
          <w:color w:val="1A1A1A"/>
          <w:sz w:val="28"/>
          <w:szCs w:val="28"/>
        </w:rPr>
        <w:t xml:space="preserve">Synthèse de l’offre de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526"/>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20"/>
                <w:szCs w:val="20"/>
              </w:rPr>
              <w:t xml:space="preserve">Composante</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20"/>
                <w:szCs w:val="20"/>
              </w:rPr>
              <w:t xml:space="preserve">Montant</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20"/>
                <w:szCs w:val="20"/>
              </w:rPr>
              <w:t xml:space="preserve">Fréquence</w:t>
            </w:r>
          </w:p>
        </w:tc>
        <w:tc>
          <w:tcPr>
            <w:tcW w:type="dxa" w:w="1526"/>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20"/>
                <w:szCs w:val="20"/>
              </w:rPr>
              <w:t xml:space="preserve">Démarrage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P1 — Visibilité &amp; Rayonnement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CHF 445.-/mois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Mensuel</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Avril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P2 — Croissance &amp; Acquisition (setup)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CHF 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Unique</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Avril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P2 — Croissance &amp; Acquisition (commission)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20 % du CA facturé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Par client, durée de vie</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Avril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P3 — Opérations &amp; KPI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À définir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Juin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Licences SaaS (estimatif)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CHF 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Mensuel</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Avril 2026</w:t>
            </w:r>
          </w:p>
        </w:tc>
      </w:tr>
    </w:tbl>
    <w:p>
      <w:pPr>
        <w:spacing w:after="160"/>
      </w:pPr>
      <w:r>
        <w:rPr>
          <w:rFonts w:ascii="Arial" w:cs="Arial" w:eastAsia="Arial" w:hAnsi="Arial"/>
          <w:b w:val="false"/>
          <w:bCs w:val="false"/>
          <w:i/>
          <w:iCs/>
          <w:color w:val="666666"/>
          <w:sz w:val="22"/>
          <w:szCs w:val="22"/>
        </w:rPr>
        <w:t xml:space="preserve">Tous les montants sont exprimés hors taxes (H.T.). La tarification des licences SaaS est une valeur estimative non contractuelle.</w:t>
      </w:r>
    </w:p>
    <w:p>
      <w:pPr>
        <w:pStyle w:val="Heading2"/>
        <w:spacing w:after="150" w:before="300"/>
      </w:pPr>
      <w:r>
        <w:rPr>
          <w:rFonts w:ascii="Arial" w:cs="Arial" w:eastAsia="Arial" w:hAnsi="Arial"/>
          <w:b/>
          <w:bCs/>
          <w:color w:val="1A1A1A"/>
          <w:sz w:val="28"/>
          <w:szCs w:val="28"/>
        </w:rPr>
        <w:t xml:space="preserve">Modalités de paiement</w:t>
      </w:r>
    </w:p>
    <w:p>
      <w:pPr>
        <w:pStyle w:val="ListParagraph"/>
        <w:numPr>
          <w:ilvl w:val="0"/>
          <w:numId w:val="2"/>
        </w:numPr>
        <w:spacing w:after="80"/>
      </w:pPr>
      <w:r>
        <w:rPr>
          <w:rFonts w:ascii="Arial" w:cs="Arial" w:eastAsia="Arial" w:hAnsi="Arial"/>
          <w:b/>
          <w:bCs/>
          <w:color w:val="1A1A1A"/>
          <w:sz w:val="22"/>
          <w:szCs w:val="22"/>
        </w:rPr>
        <w:t xml:space="preserve">Pilier 1 (Visibilité) : </w:t>
      </w:r>
      <w:r>
        <w:rPr>
          <w:rFonts w:ascii="Arial" w:cs="Arial" w:eastAsia="Arial" w:hAnsi="Arial"/>
          <w:color w:val="1A1A1A"/>
          <w:sz w:val="22"/>
          <w:szCs w:val="22"/>
        </w:rPr>
        <w:t xml:space="preserve">Facturation mensuelle par AXION, à terme échu</w:t>
      </w:r>
    </w:p>
    <w:p>
      <w:pPr>
        <w:pStyle w:val="ListParagraph"/>
        <w:numPr>
          <w:ilvl w:val="0"/>
          <w:numId w:val="2"/>
        </w:numPr>
        <w:spacing w:after="80"/>
      </w:pPr>
      <w:r>
        <w:rPr>
          <w:rFonts w:ascii="Arial" w:cs="Arial" w:eastAsia="Arial" w:hAnsi="Arial"/>
          <w:b/>
          <w:bCs/>
          <w:color w:val="1A1A1A"/>
          <w:sz w:val="22"/>
          <w:szCs w:val="22"/>
        </w:rPr>
        <w:t xml:space="preserve">Pilier 2 (Commission) : </w:t>
      </w:r>
      <w:r>
        <w:rPr>
          <w:rFonts w:ascii="Arial" w:cs="Arial" w:eastAsia="Arial" w:hAnsi="Arial"/>
          <w:color w:val="1A1A1A"/>
          <w:sz w:val="22"/>
          <w:szCs w:val="22"/>
        </w:rPr>
        <w:t xml:space="preserve">Facturation mensuelle par AXION sur la base du chiffre d’affaires facturé par ABAX Info aux clients générés par le système d’acquisition. Un reporting mensuel partagé permettra de valider les montants</w:t>
      </w:r>
    </w:p>
    <w:p>
      <w:pPr>
        <w:pStyle w:val="ListParagraph"/>
        <w:numPr>
          <w:ilvl w:val="0"/>
          <w:numId w:val="2"/>
        </w:numPr>
        <w:spacing w:after="80"/>
      </w:pPr>
      <w:r>
        <w:rPr>
          <w:rFonts w:ascii="Arial" w:cs="Arial" w:eastAsia="Arial" w:hAnsi="Arial"/>
          <w:b/>
          <w:bCs/>
          <w:color w:val="1A1A1A"/>
          <w:sz w:val="22"/>
          <w:szCs w:val="22"/>
        </w:rPr>
        <w:t xml:space="preserve">Licences : </w:t>
      </w:r>
      <w:r>
        <w:rPr>
          <w:rFonts w:ascii="Arial" w:cs="Arial" w:eastAsia="Arial" w:hAnsi="Arial"/>
          <w:color w:val="1A1A1A"/>
          <w:sz w:val="22"/>
          <w:szCs w:val="22"/>
        </w:rPr>
        <w:t xml:space="preserve">Facturées directement par les éditeurs SaaS respectifs</w:t>
      </w:r>
    </w:p>
    <w:p>
      <w:r>
        <w:br w:type="page"/>
      </w:r>
    </w:p>
    <w:p>
      <w:pPr>
        <w:pStyle w:val="Heading1"/>
        <w:spacing w:after="200" w:before="400"/>
      </w:pPr>
      <w:r>
        <w:rPr>
          <w:rFonts w:ascii="Arial" w:cs="Arial" w:eastAsia="Arial" w:hAnsi="Arial"/>
          <w:b/>
          <w:bCs/>
          <w:color w:val="E91E8C"/>
          <w:sz w:val="36"/>
          <w:szCs w:val="36"/>
        </w:rPr>
        <w:t xml:space="preserve">5. Approche &amp; Méthodologie</w:t>
      </w:r>
    </w:p>
    <w:p>
      <w:pPr>
        <w:spacing w:after="160"/>
      </w:pPr>
      <w:r>
        <w:rPr>
          <w:rFonts w:ascii="Arial" w:cs="Arial" w:eastAsia="Arial" w:hAnsi="Arial"/>
          <w:b w:val="false"/>
          <w:bCs w:val="false"/>
          <w:i w:val="false"/>
          <w:iCs w:val="false"/>
          <w:color w:val="1A1A1A"/>
          <w:sz w:val="22"/>
          <w:szCs w:val="22"/>
        </w:rPr>
        <w:t xml:space="preserve">AXION applique sa méthode propriétaire « Tourbillon 5A » garantissant une démarche structurée et des résultats mesurables.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20"/>
                <w:szCs w:val="20"/>
              </w:rPr>
              <w:t xml:space="preserve">Phase</w:t>
            </w:r>
          </w:p>
        </w:tc>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c>
          <w:tcPr>
            <w:tcW w:type="dxa" w:w="4026"/>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A1A1A"/>
                <w:sz w:val="20"/>
                <w:szCs w:val="20"/>
              </w:rPr>
              <w:t xml:space="preserve">Application ABAX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 Analyser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Cartographie de l’existant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Diagnostic SEO/GEO (livré), audit présence digitale, définition ICP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 Améliorer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Optimisation avant automatisation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Structuration catalogue de services, standardisation en briques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 Automatiser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Workflows, IA, intégrations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Système d’acquisition (sourcing, scoring, séquences), reporting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 Accompagner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Formation, change management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Ateliers hebdomadaires, présentation équipe, espace client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 Augmenter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Extension, amélioration continue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KPI opérationnels, base de connaissance, nouveaux canaux</w:t>
            </w:r>
          </w:p>
        </w:tc>
      </w:tr>
    </w:tbl>
    <w:p>
      <w:pPr>
        <w:pStyle w:val="Heading1"/>
        <w:spacing w:after="200" w:before="400"/>
      </w:pPr>
      <w:r>
        <w:rPr>
          <w:rFonts w:ascii="Arial" w:cs="Arial" w:eastAsia="Arial" w:hAnsi="Arial"/>
          <w:b/>
          <w:bCs/>
          <w:color w:val="E91E8C"/>
          <w:sz w:val="36"/>
          <w:szCs w:val="36"/>
        </w:rPr>
        <w:t xml:space="preserve">6. Pourquoi AXION</w:t>
      </w:r>
    </w:p>
    <w:p>
      <w:pPr>
        <w:pStyle w:val="ListParagraph"/>
        <w:numPr>
          <w:ilvl w:val="0"/>
          <w:numId w:val="2"/>
        </w:numPr>
        <w:spacing w:after="80"/>
      </w:pPr>
      <w:r>
        <w:rPr>
          <w:rFonts w:ascii="Arial" w:cs="Arial" w:eastAsia="Arial" w:hAnsi="Arial"/>
          <w:b/>
          <w:bCs/>
          <w:color w:val="1A1A1A"/>
          <w:sz w:val="22"/>
          <w:szCs w:val="22"/>
        </w:rPr>
        <w:t xml:space="preserve">Expertise SEO/GEO et systèmes d’acquisition</w:t>
      </w:r>
      <w:r>
        <w:rPr>
          <w:rFonts w:ascii="Arial" w:cs="Arial" w:eastAsia="Arial" w:hAnsi="Arial"/>
          <w:color w:val="1A1A1A"/>
          <w:sz w:val="22"/>
          <w:szCs w:val="22"/>
        </w:rPr>
        <w:t xml:space="preserve"> pour les PME de services IT en Suisse</w:t>
      </w:r>
    </w:p>
    <w:p>
      <w:pPr>
        <w:pStyle w:val="ListParagraph"/>
        <w:numPr>
          <w:ilvl w:val="0"/>
          <w:numId w:val="2"/>
        </w:numPr>
        <w:spacing w:after="80"/>
      </w:pPr>
      <w:r>
        <w:rPr>
          <w:rFonts w:ascii="Arial" w:cs="Arial" w:eastAsia="Arial" w:hAnsi="Arial"/>
          <w:b/>
          <w:bCs/>
          <w:color w:val="1A1A1A"/>
          <w:sz w:val="22"/>
          <w:szCs w:val="22"/>
        </w:rPr>
        <w:t xml:space="preserve">Méthodologie éprouvée « Tourbillon 5A »</w:t>
      </w:r>
      <w:r>
        <w:rPr>
          <w:rFonts w:ascii="Arial" w:cs="Arial" w:eastAsia="Arial" w:hAnsi="Arial"/>
          <w:color w:val="1A1A1A"/>
          <w:sz w:val="22"/>
          <w:szCs w:val="22"/>
        </w:rPr>
        <w:t xml:space="preserve"> centrée sur les résultats mesurables</w:t>
      </w:r>
    </w:p>
    <w:p>
      <w:pPr>
        <w:pStyle w:val="ListParagraph"/>
        <w:numPr>
          <w:ilvl w:val="0"/>
          <w:numId w:val="2"/>
        </w:numPr>
        <w:spacing w:after="80"/>
      </w:pPr>
      <w:r>
        <w:rPr>
          <w:rFonts w:ascii="Arial" w:cs="Arial" w:eastAsia="Arial" w:hAnsi="Arial"/>
          <w:b/>
          <w:bCs/>
          <w:color w:val="1A1A1A"/>
          <w:sz w:val="22"/>
          <w:szCs w:val="22"/>
        </w:rPr>
        <w:t xml:space="preserve">Modèle aligné sur la performance :</w:t>
      </w:r>
      <w:r>
        <w:rPr>
          <w:rFonts w:ascii="Arial" w:cs="Arial" w:eastAsia="Arial" w:hAnsi="Arial"/>
          <w:color w:val="1A1A1A"/>
          <w:sz w:val="22"/>
          <w:szCs w:val="22"/>
        </w:rPr>
        <w:t xml:space="preserve"> commission sur résultats, pas de frais fixes excessifs</w:t>
      </w:r>
    </w:p>
    <w:p>
      <w:pPr>
        <w:pStyle w:val="ListParagraph"/>
        <w:numPr>
          <w:ilvl w:val="0"/>
          <w:numId w:val="2"/>
        </w:numPr>
        <w:spacing w:after="80"/>
      </w:pPr>
      <w:r>
        <w:rPr>
          <w:rFonts w:ascii="Arial" w:cs="Arial" w:eastAsia="Arial" w:hAnsi="Arial"/>
          <w:b/>
          <w:bCs/>
          <w:color w:val="1A1A1A"/>
          <w:sz w:val="22"/>
          <w:szCs w:val="22"/>
        </w:rPr>
        <w:t xml:space="preserve">Propriété des données :</w:t>
      </w:r>
      <w:r>
        <w:rPr>
          <w:rFonts w:ascii="Arial" w:cs="Arial" w:eastAsia="Arial" w:hAnsi="Arial"/>
          <w:color w:val="1A1A1A"/>
          <w:sz w:val="22"/>
          <w:szCs w:val="22"/>
        </w:rPr>
        <w:t xml:space="preserve"> ABAX Info conserve la maîtrise totale du CRM et de toutes les données</w:t>
      </w:r>
    </w:p>
    <w:p>
      <w:pPr>
        <w:pStyle w:val="ListParagraph"/>
        <w:numPr>
          <w:ilvl w:val="0"/>
          <w:numId w:val="2"/>
        </w:numPr>
        <w:spacing w:after="80"/>
      </w:pPr>
      <w:r>
        <w:rPr>
          <w:rFonts w:ascii="Arial" w:cs="Arial" w:eastAsia="Arial" w:hAnsi="Arial"/>
          <w:b/>
          <w:bCs/>
          <w:color w:val="1A1A1A"/>
          <w:sz w:val="22"/>
          <w:szCs w:val="22"/>
        </w:rPr>
        <w:t xml:space="preserve">Proximité géographique</w:t>
      </w:r>
      <w:r>
        <w:rPr>
          <w:rFonts w:ascii="Arial" w:cs="Arial" w:eastAsia="Arial" w:hAnsi="Arial"/>
          <w:color w:val="1A1A1A"/>
          <w:sz w:val="22"/>
          <w:szCs w:val="22"/>
        </w:rPr>
        <w:t xml:space="preserve"> (Suisse romande) et ateliers hebdomadaires</w:t>
      </w:r>
    </w:p>
    <w:p>
      <w:pPr>
        <w:pStyle w:val="ListParagraph"/>
        <w:numPr>
          <w:ilvl w:val="0"/>
          <w:numId w:val="2"/>
        </w:numPr>
        <w:spacing w:after="80"/>
      </w:pPr>
      <w:r>
        <w:rPr>
          <w:rFonts w:ascii="Arial" w:cs="Arial" w:eastAsia="Arial" w:hAnsi="Arial"/>
          <w:b/>
          <w:bCs/>
          <w:color w:val="1A1A1A"/>
          <w:sz w:val="22"/>
          <w:szCs w:val="22"/>
        </w:rPr>
        <w:t xml:space="preserve">Accompagnement complet :</w:t>
      </w:r>
      <w:r>
        <w:rPr>
          <w:rFonts w:ascii="Arial" w:cs="Arial" w:eastAsia="Arial" w:hAnsi="Arial"/>
          <w:color w:val="1A1A1A"/>
          <w:sz w:val="22"/>
          <w:szCs w:val="22"/>
        </w:rPr>
        <w:t xml:space="preserve"> du diagnostic à l’exécution, en passant par la formation</w:t>
      </w:r>
    </w:p>
    <w:p>
      <w:pPr>
        <w:pStyle w:val="Heading1"/>
        <w:spacing w:after="200" w:before="400"/>
      </w:pPr>
      <w:r>
        <w:rPr>
          <w:rFonts w:ascii="Arial" w:cs="Arial" w:eastAsia="Arial" w:hAnsi="Arial"/>
          <w:b/>
          <w:bCs/>
          <w:color w:val="E91E8C"/>
          <w:sz w:val="36"/>
          <w:szCs w:val="36"/>
        </w:rPr>
        <w:t xml:space="preserve">7. Prochaines Étapes</w:t>
      </w:r>
    </w:p>
    <w:p>
      <w:pPr>
        <w:pStyle w:val="ListParagraph"/>
        <w:numPr>
          <w:ilvl w:val="0"/>
          <w:numId w:val="3"/>
        </w:numPr>
        <w:spacing w:after="80"/>
      </w:pPr>
      <w:r>
        <w:rPr>
          <w:rFonts w:ascii="Arial" w:cs="Arial" w:eastAsia="Arial" w:hAnsi="Arial"/>
          <w:sz w:val="22"/>
          <w:szCs w:val="22"/>
        </w:rPr>
        <w:t xml:space="preserve">Validation de la présente offre par ABAX Info</w:t>
      </w:r>
    </w:p>
    <w:p>
      <w:pPr>
        <w:pStyle w:val="ListParagraph"/>
        <w:numPr>
          <w:ilvl w:val="0"/>
          <w:numId w:val="3"/>
        </w:numPr>
        <w:spacing w:after="80"/>
      </w:pPr>
      <w:r>
        <w:rPr>
          <w:rFonts w:ascii="Arial" w:cs="Arial" w:eastAsia="Arial" w:hAnsi="Arial"/>
          <w:sz w:val="22"/>
          <w:szCs w:val="22"/>
        </w:rPr>
        <w:t xml:space="preserve">Signature du contrat et planification du kickoff</w:t>
      </w:r>
    </w:p>
    <w:p>
      <w:pPr>
        <w:pStyle w:val="ListParagraph"/>
        <w:numPr>
          <w:ilvl w:val="0"/>
          <w:numId w:val="3"/>
        </w:numPr>
        <w:spacing w:after="80"/>
      </w:pPr>
      <w:r>
        <w:rPr>
          <w:rFonts w:ascii="Arial" w:cs="Arial" w:eastAsia="Arial" w:hAnsi="Arial"/>
          <w:sz w:val="22"/>
          <w:szCs w:val="22"/>
        </w:rPr>
        <w:t xml:space="preserve">Activation de l’espace client en ligne</w:t>
      </w:r>
    </w:p>
    <w:p>
      <w:pPr>
        <w:pStyle w:val="ListParagraph"/>
        <w:numPr>
          <w:ilvl w:val="0"/>
          <w:numId w:val="3"/>
        </w:numPr>
        <w:spacing w:after="80"/>
      </w:pPr>
      <w:r>
        <w:rPr>
          <w:rFonts w:ascii="Arial" w:cs="Arial" w:eastAsia="Arial" w:hAnsi="Arial"/>
          <w:sz w:val="22"/>
          <w:szCs w:val="22"/>
        </w:rPr>
        <w:t xml:space="preserve">Premier atelier hebdomadaire — vendredi 10h-12h</w:t>
      </w:r>
    </w:p>
    <w:p>
      <w:pPr>
        <w:pStyle w:val="ListParagraph"/>
        <w:numPr>
          <w:ilvl w:val="0"/>
          <w:numId w:val="3"/>
        </w:numPr>
        <w:spacing w:after="80"/>
      </w:pPr>
      <w:r>
        <w:rPr>
          <w:rFonts w:ascii="Arial" w:cs="Arial" w:eastAsia="Arial" w:hAnsi="Arial"/>
          <w:sz w:val="22"/>
          <w:szCs w:val="22"/>
        </w:rPr>
        <w:t xml:space="preserve">Démarrage simultané des Piliers 1 (Visibilité) et 2 (Acquisition)</w:t>
      </w:r>
    </w:p>
    <w:p>
      <w:pPr>
        <w:pStyle w:val="ListParagraph"/>
        <w:numPr>
          <w:ilvl w:val="0"/>
          <w:numId w:val="3"/>
        </w:numPr>
        <w:spacing w:after="80"/>
      </w:pPr>
      <w:r>
        <w:rPr>
          <w:rFonts w:ascii="Arial" w:cs="Arial" w:eastAsia="Arial" w:hAnsi="Arial"/>
          <w:sz w:val="22"/>
          <w:szCs w:val="22"/>
        </w:rPr>
        <w:t xml:space="preserve">Ciblage initial : génération de 30 prospects qualifiés</w:t>
      </w:r>
    </w:p>
    <w:p>
      <w:pPr>
        <w:spacing w:after="100"/>
      </w:pPr>
    </w:p>
    <w:p>
      <w:pPr>
        <w:spacing w:before="200"/>
        <w:jc w:val="center"/>
      </w:pPr>
      <w:r>
        <w:rPr>
          <w:rFonts w:ascii="Arial" w:cs="Arial" w:eastAsia="Arial" w:hAnsi="Arial"/>
          <w:b/>
          <w:bCs/>
          <w:i/>
          <w:iCs/>
          <w:color w:val="E91E8C"/>
          <w:sz w:val="22"/>
          <w:szCs w:val="22"/>
        </w:rPr>
        <w:t xml:space="preserve">Cette offre est valable 30 jours à compter de sa date d’émission.</w:t>
      </w:r>
    </w:p>
    <w:p>
      <w:r>
        <w:br w:type="page"/>
      </w:r>
    </w:p>
    <w:p>
      <w:pPr>
        <w:spacing w:after="300"/>
      </w:pPr>
      <w:r>
        <w:rPr>
          <w:rFonts w:ascii="Arial" w:cs="Arial" w:eastAsia="Arial" w:hAnsi="Arial"/>
          <w:b/>
          <w:bCs/>
          <w:color w:val="1A1A1A"/>
          <w:sz w:val="36"/>
          <w:szCs w:val="36"/>
        </w:rPr>
        <w:t xml:space="preserve">PARTIE 2 - ANNEXES CONTRACTUELLES</w:t>
      </w:r>
    </w:p>
    <w:p>
      <w:pPr>
        <w:pStyle w:val="Heading1"/>
        <w:spacing w:after="200" w:before="400"/>
      </w:pPr>
      <w:r>
        <w:rPr>
          <w:rFonts w:ascii="Arial" w:cs="Arial" w:eastAsia="Arial" w:hAnsi="Arial"/>
          <w:b/>
          <w:bCs/>
          <w:color w:val="E91E8C"/>
          <w:sz w:val="36"/>
          <w:szCs w:val="36"/>
        </w:rPr>
        <w:t xml:space="preserve">Annexe A — Propriété intellectuelle</w:t>
      </w:r>
    </w:p>
    <w:p>
      <w:pPr>
        <w:spacing w:after="160"/>
      </w:pPr>
      <w:r>
        <w:rPr>
          <w:rFonts w:ascii="Arial" w:cs="Arial" w:eastAsia="Arial" w:hAnsi="Arial"/>
          <w:b w:val="false"/>
          <w:bCs w:val="false"/>
          <w:i w:val="false"/>
          <w:iCs w:val="false"/>
          <w:color w:val="1A1A1A"/>
          <w:sz w:val="22"/>
          <w:szCs w:val="22"/>
        </w:rPr>
        <w:t xml:space="preserve">ABAX Info reste propriétaire de l’ensemble des données, du CRM, du système de scoring et de toutes les configurations créées spécifiquement dans le cadre du projet.</w:t>
      </w:r>
    </w:p>
    <w:p>
      <w:pPr>
        <w:spacing w:after="160"/>
      </w:pPr>
      <w:r>
        <w:rPr>
          <w:rFonts w:ascii="Arial" w:cs="Arial" w:eastAsia="Arial" w:hAnsi="Arial"/>
          <w:b w:val="false"/>
          <w:bCs w:val="false"/>
          <w:i w:val="false"/>
          <w:iCs w:val="false"/>
          <w:color w:val="1A1A1A"/>
          <w:sz w:val="22"/>
          <w:szCs w:val="22"/>
        </w:rPr>
        <w:t xml:space="preserve">AXION conserve la propriété de ses méthodologies (dont la méthode Tourbillon 5A), outils internes, savoir-faire et solutions génériques développées. AXION se réserve le droit de réutiliser les architectures et patterns d’automatisation développés, à l’exclusion des données et informations confidentielles propres à ABAX Info.</w:t>
      </w:r>
    </w:p>
    <w:p>
      <w:pPr>
        <w:pStyle w:val="Heading1"/>
        <w:spacing w:after="200" w:before="400"/>
      </w:pPr>
      <w:r>
        <w:rPr>
          <w:rFonts w:ascii="Arial" w:cs="Arial" w:eastAsia="Arial" w:hAnsi="Arial"/>
          <w:b/>
          <w:bCs/>
          <w:color w:val="E91E8C"/>
          <w:sz w:val="36"/>
          <w:szCs w:val="36"/>
        </w:rPr>
        <w:t xml:space="preserve">Annexe B — Confidentialité</w:t>
      </w:r>
    </w:p>
    <w:p>
      <w:pPr>
        <w:spacing w:after="160"/>
      </w:pPr>
      <w:r>
        <w:rPr>
          <w:rFonts w:ascii="Arial" w:cs="Arial" w:eastAsia="Arial" w:hAnsi="Arial"/>
          <w:b w:val="false"/>
          <w:bCs w:val="false"/>
          <w:i w:val="false"/>
          <w:iCs w:val="false"/>
          <w:color w:val="1A1A1A"/>
          <w:sz w:val="22"/>
          <w:szCs w:val="22"/>
        </w:rPr>
        <w:t xml:space="preserve">Les parties s’engagent à maintenir strictement confidentielles toutes les informations sensibles de nature commerciale, financière ou stratégique échangées dans le cadre du projet, notamment : listes de clients et fournisseurs, conditions tarifaires, données personnelles, processus propriétaires et tout élément explicitement marqué comme confidentiel.</w:t>
      </w:r>
    </w:p>
    <w:p>
      <w:pPr>
        <w:spacing w:after="160"/>
      </w:pPr>
      <w:r>
        <w:rPr>
          <w:rFonts w:ascii="Arial" w:cs="Arial" w:eastAsia="Arial" w:hAnsi="Arial"/>
          <w:b w:val="false"/>
          <w:bCs w:val="false"/>
          <w:i w:val="false"/>
          <w:iCs w:val="false"/>
          <w:color w:val="1A1A1A"/>
          <w:sz w:val="22"/>
          <w:szCs w:val="22"/>
        </w:rPr>
        <w:t xml:space="preserve">Cette obligation restera en vigueur pendant une durée de 3 ans après la fin de la collaboration.</w:t>
      </w:r>
    </w:p>
    <w:p>
      <w:pPr>
        <w:pStyle w:val="Heading1"/>
        <w:spacing w:after="200" w:before="400"/>
      </w:pPr>
      <w:r>
        <w:rPr>
          <w:rFonts w:ascii="Arial" w:cs="Arial" w:eastAsia="Arial" w:hAnsi="Arial"/>
          <w:b/>
          <w:bCs/>
          <w:color w:val="E91E8C"/>
          <w:sz w:val="36"/>
          <w:szCs w:val="36"/>
        </w:rPr>
        <w:t xml:space="preserve">Annexe C — Durée et résiliation</w:t>
      </w:r>
    </w:p>
    <w:p>
      <w:pPr>
        <w:spacing w:after="160"/>
      </w:pPr>
      <w:r>
        <w:rPr>
          <w:rFonts w:ascii="Arial" w:cs="Arial" w:eastAsia="Arial" w:hAnsi="Arial"/>
          <w:b/>
          <w:bCs/>
          <w:color w:val="1A1A1A"/>
          <w:sz w:val="22"/>
          <w:szCs w:val="22"/>
        </w:rPr>
        <w:t xml:space="preserve">Pilier 1 (Visibilité) : </w:t>
      </w:r>
      <w:r>
        <w:rPr>
          <w:rFonts w:ascii="Arial" w:cs="Arial" w:eastAsia="Arial" w:hAnsi="Arial"/>
          <w:color w:val="1A1A1A"/>
          <w:sz w:val="22"/>
          <w:szCs w:val="22"/>
        </w:rPr>
        <w:t xml:space="preserve">Engagement minimum de 9 mois à compter du démarrage. A l’issue, renouvellement tacite par périodes de 3 mois, résiliable avec un préavis de 2 mois par lettre recommandée ou email avec confirmation de lecture.</w:t>
      </w:r>
    </w:p>
    <w:p>
      <w:pPr>
        <w:spacing w:after="160"/>
      </w:pPr>
      <w:r>
        <w:rPr>
          <w:rFonts w:ascii="Arial" w:cs="Arial" w:eastAsia="Arial" w:hAnsi="Arial"/>
          <w:b/>
          <w:bCs/>
          <w:color w:val="1A1A1A"/>
          <w:sz w:val="22"/>
          <w:szCs w:val="22"/>
        </w:rPr>
        <w:t xml:space="preserve">Pilier 2 (Acquisition) : </w:t>
      </w:r>
      <w:r>
        <w:rPr>
          <w:rFonts w:ascii="Arial" w:cs="Arial" w:eastAsia="Arial" w:hAnsi="Arial"/>
          <w:color w:val="1A1A1A"/>
          <w:sz w:val="22"/>
          <w:szCs w:val="22"/>
        </w:rPr>
        <w:t xml:space="preserve">Engagement minimum de 12 mois. La commission reste due pendant toute la durée de vie des contrats clients générés, même après résiliation du partenariat. Résiliable avec un préavis de 3 mois après la période d’engagement.</w:t>
      </w:r>
    </w:p>
    <w:p>
      <w:pPr>
        <w:spacing w:after="160"/>
      </w:pPr>
      <w:r>
        <w:rPr>
          <w:rFonts w:ascii="Arial" w:cs="Arial" w:eastAsia="Arial" w:hAnsi="Arial"/>
          <w:b/>
          <w:bCs/>
          <w:color w:val="1A1A1A"/>
          <w:sz w:val="22"/>
          <w:szCs w:val="22"/>
        </w:rPr>
        <w:t xml:space="preserve">Pilier 3 (Opérations) : </w:t>
      </w:r>
      <w:r>
        <w:rPr>
          <w:rFonts w:ascii="Arial" w:cs="Arial" w:eastAsia="Arial" w:hAnsi="Arial"/>
          <w:color w:val="1A1A1A"/>
          <w:sz w:val="22"/>
          <w:szCs w:val="22"/>
        </w:rPr>
        <w:t xml:space="preserve">Conditions à définir lors du cadrage en juin 2026.</w:t>
      </w:r>
    </w:p>
    <w:p>
      <w:pPr>
        <w:pStyle w:val="Heading1"/>
        <w:spacing w:after="200" w:before="400"/>
      </w:pPr>
      <w:r>
        <w:rPr>
          <w:rFonts w:ascii="Arial" w:cs="Arial" w:eastAsia="Arial" w:hAnsi="Arial"/>
          <w:b/>
          <w:bCs/>
          <w:color w:val="E91E8C"/>
          <w:sz w:val="36"/>
          <w:szCs w:val="36"/>
        </w:rPr>
        <w:t xml:space="preserve">Annexe D — Attribution des clients</w:t>
      </w:r>
    </w:p>
    <w:p>
      <w:pPr>
        <w:spacing w:after="160"/>
      </w:pPr>
      <w:r>
        <w:rPr>
          <w:rFonts w:ascii="Arial" w:cs="Arial" w:eastAsia="Arial" w:hAnsi="Arial"/>
          <w:b w:val="false"/>
          <w:bCs w:val="false"/>
          <w:i w:val="false"/>
          <w:iCs w:val="false"/>
          <w:color w:val="1A1A1A"/>
          <w:sz w:val="22"/>
          <w:szCs w:val="22"/>
        </w:rPr>
        <w:t xml:space="preserve">Un nouveau client est considéré comme « généré par le système d’acquisition » lorsqu’il est entré dans le pipeline via l’un des canaux mis en place par AXION (séquences d’emails, formulaires du site optimisé, réponse à une publication LinkedIn créée par AXION).</w:t>
      </w:r>
    </w:p>
    <w:p>
      <w:pPr>
        <w:spacing w:after="160"/>
      </w:pPr>
      <w:r>
        <w:rPr>
          <w:rFonts w:ascii="Arial" w:cs="Arial" w:eastAsia="Arial" w:hAnsi="Arial"/>
          <w:b w:val="false"/>
          <w:bCs w:val="false"/>
          <w:i w:val="false"/>
          <w:iCs w:val="false"/>
          <w:color w:val="1A1A1A"/>
          <w:sz w:val="22"/>
          <w:szCs w:val="22"/>
        </w:rPr>
        <w:t xml:space="preserve">Un reporting mensuel partagé et transparent permettra de valider l’attribution. En cas de désaccord, les parties se concerteront de bonne foi.</w:t>
      </w:r>
    </w:p>
    <w:p>
      <w:pPr>
        <w:pStyle w:val="Heading1"/>
        <w:spacing w:after="200" w:before="400"/>
      </w:pPr>
      <w:r>
        <w:rPr>
          <w:rFonts w:ascii="Arial" w:cs="Arial" w:eastAsia="Arial" w:hAnsi="Arial"/>
          <w:b/>
          <w:bCs/>
          <w:color w:val="E91E8C"/>
          <w:sz w:val="36"/>
          <w:szCs w:val="36"/>
        </w:rPr>
        <w:t xml:space="preserve">Annexe E — Droit applicable et for juridique</w:t>
      </w:r>
    </w:p>
    <w:p>
      <w:pPr>
        <w:spacing w:after="160"/>
      </w:pPr>
      <w:r>
        <w:rPr>
          <w:rFonts w:ascii="Arial" w:cs="Arial" w:eastAsia="Arial" w:hAnsi="Arial"/>
          <w:b/>
          <w:bCs/>
          <w:color w:val="1A1A1A"/>
          <w:sz w:val="22"/>
          <w:szCs w:val="22"/>
        </w:rPr>
        <w:t xml:space="preserve">Droit applicable : </w:t>
      </w:r>
      <w:r>
        <w:rPr>
          <w:rFonts w:ascii="Arial" w:cs="Arial" w:eastAsia="Arial" w:hAnsi="Arial"/>
          <w:color w:val="1A1A1A"/>
          <w:sz w:val="22"/>
          <w:szCs w:val="22"/>
        </w:rPr>
        <w:t xml:space="preserve">Le présent contrat est régi par le droit suisse, à l’exclusion de toute autre législation.</w:t>
      </w:r>
    </w:p>
    <w:p>
      <w:pPr>
        <w:spacing w:after="160"/>
      </w:pPr>
      <w:r>
        <w:rPr>
          <w:rFonts w:ascii="Arial" w:cs="Arial" w:eastAsia="Arial" w:hAnsi="Arial"/>
          <w:b/>
          <w:bCs/>
          <w:color w:val="1A1A1A"/>
          <w:sz w:val="22"/>
          <w:szCs w:val="22"/>
        </w:rPr>
        <w:t xml:space="preserve">For juridique : </w:t>
      </w:r>
      <w:r>
        <w:rPr>
          <w:rFonts w:ascii="Arial" w:cs="Arial" w:eastAsia="Arial" w:hAnsi="Arial"/>
          <w:color w:val="1A1A1A"/>
          <w:sz w:val="22"/>
          <w:szCs w:val="22"/>
        </w:rPr>
        <w:t xml:space="preserve">Tout litige découlant du présent contrat sera de la compétence exclusive des tribunaux ordinaires du canton de Vaud, Suisse.</w:t>
      </w:r>
    </w:p>
    <w:p>
      <w:pPr>
        <w:spacing w:after="160"/>
      </w:pPr>
      <w:r>
        <w:rPr>
          <w:rFonts w:ascii="Arial" w:cs="Arial" w:eastAsia="Arial" w:hAnsi="Arial"/>
          <w:b/>
          <w:bCs/>
          <w:color w:val="1A1A1A"/>
          <w:sz w:val="22"/>
          <w:szCs w:val="22"/>
        </w:rPr>
        <w:t xml:space="preserve">Langue : </w:t>
      </w:r>
      <w:r>
        <w:rPr>
          <w:rFonts w:ascii="Arial" w:cs="Arial" w:eastAsia="Arial" w:hAnsi="Arial"/>
          <w:color w:val="1A1A1A"/>
          <w:sz w:val="22"/>
          <w:szCs w:val="22"/>
        </w:rPr>
        <w:t xml:space="preserve">Le présent contrat est rédigé en français. En cas de traduction, seule la version française fait foi.</w:t>
      </w:r>
    </w:p>
    <w:p>
      <w:r>
        <w:br w:type="page"/>
      </w:r>
    </w:p>
    <w:p>
      <w:pPr>
        <w:pStyle w:val="Heading1"/>
        <w:spacing w:after="200" w:before="400"/>
      </w:pPr>
      <w:r>
        <w:rPr>
          <w:rFonts w:ascii="Arial" w:cs="Arial" w:eastAsia="Arial" w:hAnsi="Arial"/>
          <w:b/>
          <w:bCs/>
          <w:color w:val="E91E8C"/>
          <w:sz w:val="36"/>
          <w:szCs w:val="36"/>
        </w:rPr>
        <w:t xml:space="preserve">Signatures</w:t>
      </w:r>
    </w:p>
    <w:p>
      <w:pPr>
        <w:spacing w:after="160"/>
      </w:pPr>
      <w:r>
        <w:rPr>
          <w:rFonts w:ascii="Arial" w:cs="Arial" w:eastAsia="Arial" w:hAnsi="Arial"/>
          <w:b w:val="false"/>
          <w:bCs w:val="false"/>
          <w:i w:val="false"/>
          <w:iCs w:val="false"/>
          <w:color w:val="1A1A1A"/>
          <w:sz w:val="22"/>
          <w:szCs w:val="22"/>
        </w:rPr>
        <w:t xml:space="preserve">En signant ce document, les parties acceptent l’ensemble des termes et conditions de la présente offre.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91E8C"/>
                <w:sz w:val="22"/>
                <w:szCs w:val="22"/>
              </w:rPr>
              <w:t xml:space="preserve">Pour ABAX Info</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91E8C"/>
                <w:sz w:val="22"/>
                <w:szCs w:val="22"/>
              </w:rPr>
              <w:t xml:space="preserve">Pour AXION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666666"/>
                <w:sz w:val="20"/>
                <w:szCs w:val="20"/>
              </w:rPr>
              <w:t xml:space="preserve">Nom :</w:t>
            </w:r>
          </w:p>
          <w:p>
            <w:pPr>
              <w:spacing w:after="60"/>
            </w:pPr>
            <w:r>
              <w:rPr>
                <w:rFonts w:ascii="Arial" w:cs="Arial" w:eastAsia="Arial" w:hAnsi="Arial"/>
                <w:color w:val="666666"/>
                <w:sz w:val="20"/>
                <w:szCs w:val="20"/>
              </w:rPr>
              <w:t xml:space="preserve">Fonction :</w:t>
            </w:r>
          </w:p>
          <w:p>
            <w:pPr>
              <w:spacing w:after="100"/>
            </w:pPr>
          </w:p>
          <w:p>
            <w:pPr>
              <w:spacing w:after="60"/>
            </w:pPr>
            <w:r>
              <w:rPr>
                <w:rFonts w:ascii="Arial" w:cs="Arial" w:eastAsia="Arial" w:hAnsi="Arial"/>
                <w:color w:val="666666"/>
                <w:sz w:val="20"/>
                <w:szCs w:val="20"/>
              </w:rPr>
              <w:t xml:space="preserve">Date :</w:t>
            </w:r>
          </w:p>
          <w:p>
            <w:pPr>
              <w:spacing w:after="100"/>
            </w:pPr>
          </w:p>
          <w:p>
            <w:r>
              <w:rPr>
                <w:rFonts w:ascii="Arial" w:cs="Arial" w:eastAsia="Arial" w:hAnsi="Arial"/>
                <w:color w:val="666666"/>
                <w:sz w:val="20"/>
                <w:szCs w:val="20"/>
              </w:rPr>
              <w:t xml:space="preserve">Signature :</w:t>
            </w:r>
          </w:p>
          <w:p>
            <w:pPr>
              <w:spacing w:after="100"/>
            </w:pPr>
          </w:p>
          <w:p>
            <w:pPr>
              <w:spacing w:after="100"/>
            </w:pPr>
          </w:p>
          <w:p>
            <w:pPr>
              <w:spacing w:after="100"/>
            </w:pP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0"/>
                <w:szCs w:val="20"/>
              </w:rPr>
              <w:t xml:space="preserve">Nom : Sébastien FOURNIER</w:t>
            </w:r>
          </w:p>
          <w:p>
            <w:pPr>
              <w:spacing w:after="60"/>
            </w:pPr>
            <w:r>
              <w:rPr>
                <w:rFonts w:ascii="Arial" w:cs="Arial" w:eastAsia="Arial" w:hAnsi="Arial"/>
                <w:sz w:val="20"/>
                <w:szCs w:val="20"/>
              </w:rPr>
              <w:t xml:space="preserve">Fonction : Co-Founder AXION</w:t>
            </w:r>
          </w:p>
          <w:p>
            <w:pPr>
              <w:spacing w:after="100"/>
            </w:pPr>
          </w:p>
          <w:p>
            <w:pPr>
              <w:spacing w:after="60"/>
            </w:pPr>
            <w:r>
              <w:rPr>
                <w:rFonts w:ascii="Arial" w:cs="Arial" w:eastAsia="Arial" w:hAnsi="Arial"/>
                <w:color w:val="666666"/>
                <w:sz w:val="20"/>
                <w:szCs w:val="20"/>
              </w:rPr>
              <w:t xml:space="preserve">Date :</w:t>
            </w:r>
          </w:p>
          <w:p>
            <w:pPr>
              <w:spacing w:after="100"/>
            </w:pPr>
          </w:p>
          <w:p>
            <w:r>
              <w:rPr>
                <w:rFonts w:ascii="Arial" w:cs="Arial" w:eastAsia="Arial" w:hAnsi="Arial"/>
                <w:color w:val="666666"/>
                <w:sz w:val="20"/>
                <w:szCs w:val="20"/>
              </w:rPr>
              <w:t xml:space="preserve">Signature :</w:t>
            </w:r>
          </w:p>
          <w:p>
            <w:pPr>
              <w:spacing w:after="100"/>
            </w:pPr>
          </w:p>
          <w:p>
            <w:pPr>
              <w:spacing w:after="100"/>
            </w:pPr>
          </w:p>
          <w:p>
            <w:pPr>
              <w:spacing w:after="100"/>
            </w:pP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Confidentiel — AXION Smart Swiss Operations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i/>
        <w:iCs/>
        <w:color w:val="E91E8C"/>
        <w:sz w:val="16"/>
        <w:szCs w:val="16"/>
      </w:rPr>
      <w:t xml:space="preserve">AXION</w:t>
    </w:r>
    <w:r>
      <w:rPr>
        <w:rFonts w:ascii="Arial" w:cs="Arial" w:eastAsia="Arial" w:hAnsi="Arial"/>
        <w:color w:val="666666"/>
        <w:sz w:val="16"/>
        <w:szCs w:val="16"/>
      </w:rPr>
      <w:t xml:space="preserve">  Smart Swiss Operations</w:t>
    </w:r>
    <w:r>
      <w:rPr>
        <w:rFonts w:ascii="Arial" w:cs="Arial" w:eastAsia="Arial" w:hAnsi="Arial"/>
        <w:color w:val="666666"/>
        <w:sz w:val="16"/>
        <w:szCs w:val="16"/>
      </w:rPr>
      <w:t xml:space="preserve">          Offre ABAX Info — Réf. AXION-ABAX-2026-001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E91E8C"/>
      <w:sz w:val="36"/>
      <w:szCs w:val="36"/>
    </w:rPr>
  </w:style>
  <w:style w:type="paragraph" w:styleId="Heading2">
    <w:name w:val="Heading 2"/>
    <w:basedOn w:val="Normal"/>
    <w:next w:val="Normal"/>
    <w:qFormat/>
    <w:pPr>
      <w:spacing w:after="15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2026-04-02T14:36:19.190Z</dcterms:created>
  <dcterms:modified xsi:type="dcterms:W3CDTF">2026-04-02T14:36:19.192Z</dcterms:modified>
</cp:coreProperties>
</file>

<file path=docProps/custom.xml><?xml version="1.0" encoding="utf-8"?>
<Properties xmlns="http://schemas.openxmlformats.org/officeDocument/2006/custom-properties" xmlns:vt="http://schemas.openxmlformats.org/officeDocument/2006/docPropsVTypes"/>
</file>