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5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9"/>
        <w:gridCol w:w="535"/>
        <w:gridCol w:w="2830"/>
        <w:gridCol w:w="360"/>
        <w:gridCol w:w="1083"/>
        <w:gridCol w:w="703"/>
        <w:gridCol w:w="1106"/>
        <w:gridCol w:w="236"/>
        <w:gridCol w:w="230"/>
        <w:gridCol w:w="1701"/>
      </w:tblGrid>
      <w:tr w:rsidR="00883805" w:rsidRPr="00883805" w14:paraId="25C90CD4" w14:textId="77777777" w:rsidTr="0016491C">
        <w:tc>
          <w:tcPr>
            <w:tcW w:w="9353" w:type="dxa"/>
            <w:gridSpan w:val="10"/>
            <w:tcBorders>
              <w:bottom w:val="nil"/>
            </w:tcBorders>
          </w:tcPr>
          <w:p w14:paraId="3CFF360B" w14:textId="77777777" w:rsidR="00883805" w:rsidRPr="00883805" w:rsidRDefault="00883805">
            <w:pPr>
              <w:rPr>
                <w:sz w:val="20"/>
                <w:szCs w:val="20"/>
              </w:rPr>
            </w:pPr>
            <w:r w:rsidRPr="00171B6F">
              <w:rPr>
                <w:b/>
                <w:sz w:val="72"/>
                <w:szCs w:val="20"/>
              </w:rPr>
              <w:t>Purchase Order</w:t>
            </w:r>
          </w:p>
        </w:tc>
      </w:tr>
      <w:tr w:rsidR="00883805" w:rsidRPr="00EF0556" w14:paraId="23FE12B8" w14:textId="77777777" w:rsidTr="0016491C">
        <w:tc>
          <w:tcPr>
            <w:tcW w:w="9353" w:type="dxa"/>
            <w:gridSpan w:val="10"/>
            <w:tcBorders>
              <w:top w:val="nil"/>
              <w:bottom w:val="double" w:sz="4" w:space="0" w:color="auto"/>
            </w:tcBorders>
          </w:tcPr>
          <w:p w14:paraId="2CFDE9C6" w14:textId="77777777" w:rsidR="00883805" w:rsidRPr="00883805" w:rsidRDefault="00883805" w:rsidP="009D56E1">
            <w:pPr>
              <w:rPr>
                <w:sz w:val="20"/>
                <w:szCs w:val="20"/>
                <w:lang w:val="en-US"/>
              </w:rPr>
            </w:pPr>
            <w:r w:rsidRPr="00FB31E3">
              <w:rPr>
                <w:sz w:val="28"/>
                <w:szCs w:val="20"/>
                <w:lang w:val="en-US"/>
              </w:rPr>
              <w:t xml:space="preserve">For </w:t>
            </w:r>
            <w:r w:rsidR="009D56E1">
              <w:rPr>
                <w:sz w:val="28"/>
                <w:szCs w:val="20"/>
                <w:lang w:val="en-US"/>
              </w:rPr>
              <w:t>DAC Factory services</w:t>
            </w:r>
          </w:p>
        </w:tc>
      </w:tr>
      <w:tr w:rsidR="00F905EC" w:rsidRPr="00883805" w14:paraId="25BE5491" w14:textId="77777777" w:rsidTr="0016491C">
        <w:tc>
          <w:tcPr>
            <w:tcW w:w="1104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6520E2C0" w14:textId="77777777" w:rsidR="00883805" w:rsidRPr="00883805" w:rsidRDefault="0088380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883805">
              <w:rPr>
                <w:rFonts w:asciiTheme="majorHAnsi" w:hAnsiTheme="majorHAnsi"/>
                <w:b/>
                <w:sz w:val="20"/>
                <w:szCs w:val="20"/>
              </w:rPr>
              <w:t>Purchaser:</w:t>
            </w:r>
          </w:p>
        </w:tc>
        <w:tc>
          <w:tcPr>
            <w:tcW w:w="3190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39A7CBA6" w14:textId="77777777" w:rsidR="00883805" w:rsidRPr="00883805" w:rsidRDefault="00883805" w:rsidP="009D56E1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proofErr w:type="spellStart"/>
            <w:r w:rsidRPr="00883805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>eosDAC</w:t>
            </w:r>
            <w:proofErr w:type="spellEnd"/>
            <w:r w:rsidRPr="00883805">
              <w:rPr>
                <w:rFonts w:asciiTheme="majorHAnsi" w:hAnsiTheme="majorHAnsi"/>
                <w:sz w:val="20"/>
                <w:szCs w:val="20"/>
                <w:lang w:val="en-US"/>
              </w:rPr>
              <w:t>,</w:t>
            </w:r>
            <w:r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 xml:space="preserve"> </w:t>
            </w:r>
            <w:r w:rsidRPr="00883805">
              <w:rPr>
                <w:rFonts w:asciiTheme="majorHAnsi" w:hAnsiTheme="majorHAnsi"/>
                <w:sz w:val="20"/>
                <w:szCs w:val="20"/>
                <w:lang w:val="en-US"/>
              </w:rPr>
              <w:t>a decent</w:t>
            </w:r>
            <w:r w:rsidR="009D56E1">
              <w:rPr>
                <w:rFonts w:asciiTheme="majorHAnsi" w:hAnsiTheme="majorHAnsi"/>
                <w:sz w:val="20"/>
                <w:szCs w:val="20"/>
                <w:lang w:val="en-US"/>
              </w:rPr>
              <w:t>r</w:t>
            </w:r>
            <w:r w:rsidRPr="00883805">
              <w:rPr>
                <w:rFonts w:asciiTheme="majorHAnsi" w:hAnsiTheme="majorHAnsi"/>
                <w:sz w:val="20"/>
                <w:szCs w:val="20"/>
                <w:lang w:val="en-US"/>
              </w:rPr>
              <w:t>alized autonomous community organized under the laws of Anguilla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, acting through its </w:t>
            </w:r>
            <w:r w:rsidR="009D56E1">
              <w:rPr>
                <w:rFonts w:asciiTheme="majorHAnsi" w:hAnsiTheme="majorHAnsi"/>
                <w:sz w:val="20"/>
                <w:szCs w:val="20"/>
                <w:lang w:val="en-US"/>
              </w:rPr>
              <w:t>Custodian board</w:t>
            </w:r>
          </w:p>
        </w:tc>
        <w:tc>
          <w:tcPr>
            <w:tcW w:w="1083" w:type="dxa"/>
            <w:tcBorders>
              <w:top w:val="double" w:sz="4" w:space="0" w:color="auto"/>
              <w:bottom w:val="double" w:sz="4" w:space="0" w:color="auto"/>
            </w:tcBorders>
          </w:tcPr>
          <w:p w14:paraId="753C685B" w14:textId="77777777" w:rsidR="00883805" w:rsidRPr="00883805" w:rsidRDefault="00883805">
            <w:pPr>
              <w:rPr>
                <w:rFonts w:asciiTheme="majorHAnsi" w:hAnsiTheme="majorHAnsi"/>
                <w:b/>
                <w:sz w:val="20"/>
                <w:szCs w:val="20"/>
                <w:lang w:val="en-US"/>
              </w:rPr>
            </w:pPr>
            <w:r w:rsidRPr="00883805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>Service Provider:</w:t>
            </w:r>
          </w:p>
        </w:tc>
        <w:tc>
          <w:tcPr>
            <w:tcW w:w="3976" w:type="dxa"/>
            <w:gridSpan w:val="5"/>
            <w:tcBorders>
              <w:top w:val="double" w:sz="4" w:space="0" w:color="auto"/>
              <w:bottom w:val="double" w:sz="4" w:space="0" w:color="auto"/>
            </w:tcBorders>
          </w:tcPr>
          <w:p w14:paraId="297C6F15" w14:textId="77777777" w:rsidR="00883805" w:rsidRPr="00883805" w:rsidRDefault="00883805" w:rsidP="00883805">
            <w:pPr>
              <w:rPr>
                <w:rFonts w:asciiTheme="majorHAnsi" w:hAnsiTheme="majorHAnsi"/>
                <w:sz w:val="20"/>
                <w:szCs w:val="20"/>
              </w:rPr>
            </w:pPr>
            <w:r w:rsidRPr="00883805">
              <w:rPr>
                <w:rFonts w:asciiTheme="majorHAnsi" w:hAnsiTheme="majorHAnsi"/>
                <w:sz w:val="20"/>
                <w:szCs w:val="20"/>
              </w:rPr>
              <w:t>Dacoco GmbH</w:t>
            </w:r>
            <w:r w:rsidRPr="00883805">
              <w:rPr>
                <w:rFonts w:asciiTheme="majorHAnsi" w:hAnsiTheme="majorHAnsi"/>
                <w:sz w:val="20"/>
                <w:szCs w:val="20"/>
              </w:rPr>
              <w:br/>
              <w:t>c/o AbaFin Treuhand AG</w:t>
            </w:r>
            <w:r w:rsidRPr="00883805">
              <w:rPr>
                <w:rFonts w:asciiTheme="majorHAnsi" w:hAnsiTheme="majorHAnsi"/>
                <w:sz w:val="20"/>
                <w:szCs w:val="20"/>
              </w:rPr>
              <w:br/>
              <w:t>Baarerstrasse 82</w:t>
            </w:r>
            <w:r w:rsidRPr="00883805">
              <w:rPr>
                <w:rFonts w:asciiTheme="majorHAnsi" w:hAnsiTheme="majorHAnsi"/>
                <w:sz w:val="20"/>
                <w:szCs w:val="20"/>
              </w:rPr>
              <w:br/>
            </w:r>
            <w:r>
              <w:rPr>
                <w:rFonts w:asciiTheme="majorHAnsi" w:hAnsiTheme="majorHAnsi"/>
                <w:sz w:val="20"/>
                <w:szCs w:val="20"/>
              </w:rPr>
              <w:t>6302 Zug, Switzerland</w:t>
            </w:r>
          </w:p>
        </w:tc>
      </w:tr>
      <w:tr w:rsidR="00FB31E3" w:rsidRPr="00EF0556" w14:paraId="6A617A07" w14:textId="77777777" w:rsidTr="0016491C">
        <w:tc>
          <w:tcPr>
            <w:tcW w:w="9353" w:type="dxa"/>
            <w:gridSpan w:val="10"/>
            <w:tcBorders>
              <w:top w:val="double" w:sz="4" w:space="0" w:color="auto"/>
            </w:tcBorders>
          </w:tcPr>
          <w:p w14:paraId="11BF13A6" w14:textId="77777777" w:rsidR="00FB31E3" w:rsidRPr="00FB31E3" w:rsidRDefault="00FB31E3" w:rsidP="00F905EC">
            <w:pPr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FB31E3">
              <w:rPr>
                <w:rFonts w:asciiTheme="majorHAnsi" w:hAnsiTheme="majorHAnsi"/>
                <w:sz w:val="20"/>
                <w:szCs w:val="20"/>
                <w:lang w:val="en-US"/>
              </w:rPr>
              <w:t>Subject to the terms &amp; conditions of the Service Provider enclosed in annex I</w:t>
            </w:r>
            <w:r w:rsidR="0073382B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(the "</w:t>
            </w:r>
            <w:r w:rsidR="0073382B" w:rsidRPr="0073382B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>T&amp;C</w:t>
            </w:r>
            <w:r w:rsidR="0073382B">
              <w:rPr>
                <w:rFonts w:asciiTheme="majorHAnsi" w:hAnsiTheme="majorHAnsi"/>
                <w:sz w:val="20"/>
                <w:szCs w:val="20"/>
                <w:lang w:val="en-US"/>
              </w:rPr>
              <w:t>")</w:t>
            </w:r>
            <w:r w:rsidRPr="00FB31E3">
              <w:rPr>
                <w:rFonts w:asciiTheme="majorHAnsi" w:hAnsiTheme="majorHAnsi"/>
                <w:sz w:val="20"/>
                <w:szCs w:val="20"/>
                <w:lang w:val="en-US"/>
              </w:rPr>
              <w:t>, the Purchaser agrees to purchase and the Service Provider agrees to provide the services as described hereunder (the "</w:t>
            </w:r>
            <w:r w:rsidRPr="00FB31E3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>Services</w:t>
            </w:r>
            <w:r w:rsidRPr="00FB31E3">
              <w:rPr>
                <w:rFonts w:asciiTheme="majorHAnsi" w:hAnsiTheme="majorHAnsi"/>
                <w:sz w:val="20"/>
                <w:szCs w:val="20"/>
                <w:lang w:val="en-US"/>
              </w:rPr>
              <w:t>"):</w:t>
            </w:r>
          </w:p>
        </w:tc>
      </w:tr>
      <w:tr w:rsidR="00F905EC" w:rsidRPr="00FB31E3" w14:paraId="1E33043C" w14:textId="77777777" w:rsidTr="0016491C">
        <w:tc>
          <w:tcPr>
            <w:tcW w:w="569" w:type="dxa"/>
          </w:tcPr>
          <w:p w14:paraId="38935D9F" w14:textId="77777777" w:rsidR="00B84808" w:rsidRPr="00FB31E3" w:rsidRDefault="00B84808">
            <w:pPr>
              <w:rPr>
                <w:rFonts w:asciiTheme="majorHAnsi" w:hAnsiTheme="majorHAnsi"/>
                <w:b/>
                <w:sz w:val="20"/>
                <w:szCs w:val="20"/>
                <w:lang w:val="en-US"/>
              </w:rPr>
            </w:pPr>
            <w:r w:rsidRPr="00FB31E3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>Ref.</w:t>
            </w:r>
          </w:p>
        </w:tc>
        <w:tc>
          <w:tcPr>
            <w:tcW w:w="3365" w:type="dxa"/>
            <w:gridSpan w:val="2"/>
          </w:tcPr>
          <w:p w14:paraId="087B7901" w14:textId="77777777" w:rsidR="00B84808" w:rsidRPr="00FB31E3" w:rsidRDefault="00B84808">
            <w:pPr>
              <w:rPr>
                <w:rFonts w:asciiTheme="majorHAnsi" w:hAnsiTheme="majorHAnsi"/>
                <w:b/>
                <w:sz w:val="20"/>
                <w:szCs w:val="20"/>
                <w:lang w:val="en-US"/>
              </w:rPr>
            </w:pPr>
            <w:r w:rsidRPr="00FB31E3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>Service:</w:t>
            </w:r>
          </w:p>
        </w:tc>
        <w:tc>
          <w:tcPr>
            <w:tcW w:w="1443" w:type="dxa"/>
            <w:gridSpan w:val="2"/>
          </w:tcPr>
          <w:p w14:paraId="03DDBF7C" w14:textId="77777777" w:rsidR="00B84808" w:rsidRPr="00FB31E3" w:rsidRDefault="00B84808">
            <w:pPr>
              <w:rPr>
                <w:rFonts w:asciiTheme="majorHAnsi" w:hAnsiTheme="majorHAnsi"/>
                <w:b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>Due date</w:t>
            </w:r>
          </w:p>
        </w:tc>
        <w:tc>
          <w:tcPr>
            <w:tcW w:w="1809" w:type="dxa"/>
            <w:gridSpan w:val="2"/>
          </w:tcPr>
          <w:p w14:paraId="6D079A49" w14:textId="77777777" w:rsidR="00B84808" w:rsidRPr="00B84808" w:rsidRDefault="00B84808" w:rsidP="00FB31E3">
            <w:pPr>
              <w:rPr>
                <w:rFonts w:asciiTheme="majorHAnsi" w:hAnsiTheme="majorHAnsi"/>
                <w:b/>
                <w:sz w:val="20"/>
                <w:szCs w:val="20"/>
                <w:lang w:val="en-US"/>
              </w:rPr>
            </w:pPr>
            <w:r w:rsidRPr="00B84808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>Mode of payment:</w:t>
            </w:r>
          </w:p>
        </w:tc>
        <w:tc>
          <w:tcPr>
            <w:tcW w:w="2167" w:type="dxa"/>
            <w:gridSpan w:val="3"/>
          </w:tcPr>
          <w:p w14:paraId="57B6E318" w14:textId="77777777" w:rsidR="00B84808" w:rsidRPr="00B84808" w:rsidRDefault="00B84808">
            <w:pPr>
              <w:rPr>
                <w:rFonts w:asciiTheme="majorHAnsi" w:hAnsiTheme="majorHAnsi"/>
                <w:b/>
                <w:sz w:val="20"/>
                <w:szCs w:val="20"/>
                <w:lang w:val="en-US"/>
              </w:rPr>
            </w:pPr>
            <w:r w:rsidRPr="00B84808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>Service Fee:</w:t>
            </w:r>
          </w:p>
        </w:tc>
      </w:tr>
      <w:tr w:rsidR="00F905EC" w:rsidRPr="00FB31E3" w14:paraId="08C359CE" w14:textId="77777777" w:rsidTr="0016491C">
        <w:trPr>
          <w:trHeight w:val="135"/>
        </w:trPr>
        <w:tc>
          <w:tcPr>
            <w:tcW w:w="569" w:type="dxa"/>
          </w:tcPr>
          <w:p w14:paraId="26363695" w14:textId="77777777" w:rsidR="00F905EC" w:rsidRPr="00FB31E3" w:rsidRDefault="00F905EC" w:rsidP="00FB31E3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Theme="majorHAnsi" w:hAnsiTheme="majorHAnsi"/>
                <w:sz w:val="20"/>
                <w:szCs w:val="20"/>
                <w:lang w:val="en-US"/>
              </w:rPr>
            </w:pPr>
          </w:p>
        </w:tc>
        <w:tc>
          <w:tcPr>
            <w:tcW w:w="3365" w:type="dxa"/>
            <w:gridSpan w:val="2"/>
          </w:tcPr>
          <w:p w14:paraId="08D8C23B" w14:textId="77777777" w:rsidR="00F905EC" w:rsidRPr="00FB31E3" w:rsidRDefault="009D56E1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Preparation of end user agreements</w:t>
            </w:r>
          </w:p>
        </w:tc>
        <w:tc>
          <w:tcPr>
            <w:tcW w:w="1443" w:type="dxa"/>
            <w:gridSpan w:val="2"/>
          </w:tcPr>
          <w:p w14:paraId="7EA00B93" w14:textId="79F55D75" w:rsidR="00F905EC" w:rsidRPr="00FB31E3" w:rsidRDefault="00DB1D4D" w:rsidP="00EF0556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15.02.2020</w:t>
            </w:r>
          </w:p>
        </w:tc>
        <w:tc>
          <w:tcPr>
            <w:tcW w:w="1809" w:type="dxa"/>
            <w:gridSpan w:val="2"/>
          </w:tcPr>
          <w:p w14:paraId="5CE904CE" w14:textId="776B0933" w:rsidR="00F905EC" w:rsidRPr="008C2E1F" w:rsidRDefault="00F905EC" w:rsidP="008C2E1F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single" w:sz="2" w:space="0" w:color="auto"/>
              <w:right w:val="nil"/>
            </w:tcBorders>
          </w:tcPr>
          <w:p w14:paraId="726A3D28" w14:textId="229D1D9B" w:rsidR="00F905EC" w:rsidRPr="008C2E1F" w:rsidRDefault="00F905EC" w:rsidP="00F905EC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</w:p>
        </w:tc>
        <w:tc>
          <w:tcPr>
            <w:tcW w:w="1931" w:type="dxa"/>
            <w:gridSpan w:val="2"/>
            <w:tcBorders>
              <w:left w:val="nil"/>
            </w:tcBorders>
          </w:tcPr>
          <w:p w14:paraId="70B91E11" w14:textId="1602971B" w:rsidR="00F905EC" w:rsidRPr="008C2E1F" w:rsidRDefault="00DB1D4D" w:rsidP="00DB1D4D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Included within onboarding fee</w:t>
            </w:r>
          </w:p>
        </w:tc>
      </w:tr>
      <w:tr w:rsidR="00EF0556" w:rsidRPr="00FB31E3" w14:paraId="6E0FFFF1" w14:textId="77777777" w:rsidTr="0016491C">
        <w:trPr>
          <w:trHeight w:val="167"/>
        </w:trPr>
        <w:tc>
          <w:tcPr>
            <w:tcW w:w="569" w:type="dxa"/>
          </w:tcPr>
          <w:p w14:paraId="4958EF67" w14:textId="77777777" w:rsidR="00EF0556" w:rsidRPr="00FB31E3" w:rsidRDefault="00EF0556" w:rsidP="00EF0556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Theme="majorHAnsi" w:hAnsiTheme="majorHAnsi"/>
                <w:sz w:val="20"/>
                <w:szCs w:val="20"/>
                <w:lang w:val="en-US"/>
              </w:rPr>
            </w:pPr>
          </w:p>
        </w:tc>
        <w:tc>
          <w:tcPr>
            <w:tcW w:w="3365" w:type="dxa"/>
            <w:gridSpan w:val="2"/>
          </w:tcPr>
          <w:p w14:paraId="73E52BC4" w14:textId="1C9EF493" w:rsidR="00EF0556" w:rsidRPr="00FB31E3" w:rsidRDefault="00DB1D4D" w:rsidP="00EF0556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Delivery of DAC Factory service to customers  </w:t>
            </w:r>
          </w:p>
        </w:tc>
        <w:tc>
          <w:tcPr>
            <w:tcW w:w="1443" w:type="dxa"/>
            <w:gridSpan w:val="2"/>
          </w:tcPr>
          <w:p w14:paraId="39CCE6E1" w14:textId="5F3E23CA" w:rsidR="00EF0556" w:rsidRPr="00FB31E3" w:rsidRDefault="0016491C" w:rsidP="00EF0556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Until termination</w:t>
            </w:r>
          </w:p>
        </w:tc>
        <w:tc>
          <w:tcPr>
            <w:tcW w:w="1809" w:type="dxa"/>
            <w:gridSpan w:val="2"/>
          </w:tcPr>
          <w:p w14:paraId="04C21624" w14:textId="7A2975FC" w:rsidR="00EF0556" w:rsidRDefault="00DB1D4D" w:rsidP="00EF0556"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See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US"/>
              </w:rPr>
              <w:t>MultisSig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wallet</w:t>
            </w:r>
          </w:p>
        </w:tc>
        <w:tc>
          <w:tcPr>
            <w:tcW w:w="466" w:type="dxa"/>
            <w:gridSpan w:val="2"/>
            <w:tcBorders>
              <w:bottom w:val="single" w:sz="2" w:space="0" w:color="auto"/>
              <w:right w:val="nil"/>
            </w:tcBorders>
          </w:tcPr>
          <w:p w14:paraId="3122D490" w14:textId="77777777" w:rsidR="00EF0556" w:rsidRDefault="0016491C" w:rsidP="0016491C">
            <w:pPr>
              <w:ind w:right="-105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10%</w:t>
            </w:r>
          </w:p>
          <w:p w14:paraId="07C28AFE" w14:textId="77777777" w:rsidR="0016491C" w:rsidRDefault="0016491C" w:rsidP="0016491C">
            <w:pPr>
              <w:ind w:right="-105"/>
              <w:rPr>
                <w:rFonts w:asciiTheme="majorHAnsi" w:hAnsiTheme="majorHAnsi"/>
                <w:sz w:val="20"/>
                <w:szCs w:val="20"/>
                <w:lang w:val="en-US"/>
              </w:rPr>
            </w:pPr>
          </w:p>
          <w:p w14:paraId="346BDA11" w14:textId="77777777" w:rsidR="0016491C" w:rsidRDefault="0016491C" w:rsidP="0016491C">
            <w:pPr>
              <w:ind w:right="-105"/>
              <w:rPr>
                <w:rFonts w:asciiTheme="majorHAnsi" w:hAnsiTheme="majorHAnsi"/>
                <w:sz w:val="20"/>
                <w:szCs w:val="20"/>
                <w:lang w:val="en-US"/>
              </w:rPr>
            </w:pPr>
          </w:p>
          <w:p w14:paraId="27C87EDC" w14:textId="77777777" w:rsidR="0016491C" w:rsidRDefault="0016491C" w:rsidP="0016491C">
            <w:pPr>
              <w:ind w:right="-105"/>
              <w:rPr>
                <w:rFonts w:asciiTheme="majorHAnsi" w:hAnsiTheme="majorHAnsi"/>
                <w:sz w:val="20"/>
                <w:szCs w:val="20"/>
                <w:lang w:val="en-US"/>
              </w:rPr>
            </w:pPr>
          </w:p>
          <w:p w14:paraId="24D812BC" w14:textId="4F1EC924" w:rsidR="0016491C" w:rsidRPr="008C2E1F" w:rsidRDefault="0016491C" w:rsidP="0016491C">
            <w:pPr>
              <w:ind w:right="-105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70%</w:t>
            </w:r>
          </w:p>
        </w:tc>
        <w:tc>
          <w:tcPr>
            <w:tcW w:w="1701" w:type="dxa"/>
            <w:tcBorders>
              <w:left w:val="nil"/>
            </w:tcBorders>
          </w:tcPr>
          <w:p w14:paraId="097C9641" w14:textId="77777777" w:rsidR="0016491C" w:rsidRDefault="0016491C" w:rsidP="0016491C">
            <w:pPr>
              <w:ind w:left="-105"/>
              <w:jc w:val="right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margin of the monthly subscription fee</w:t>
            </w:r>
          </w:p>
          <w:p w14:paraId="20A0DF1B" w14:textId="77777777" w:rsidR="0016491C" w:rsidRDefault="0016491C" w:rsidP="0016491C">
            <w:pPr>
              <w:ind w:left="-105"/>
              <w:jc w:val="right"/>
              <w:rPr>
                <w:rFonts w:asciiTheme="majorHAnsi" w:hAnsiTheme="majorHAnsi"/>
                <w:sz w:val="20"/>
                <w:szCs w:val="20"/>
                <w:lang w:val="en-US"/>
              </w:rPr>
            </w:pPr>
          </w:p>
          <w:p w14:paraId="10537DDB" w14:textId="4E02503D" w:rsidR="00EF0556" w:rsidRPr="008C2E1F" w:rsidRDefault="0016491C" w:rsidP="0016491C">
            <w:pPr>
              <w:ind w:left="-105"/>
              <w:jc w:val="right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margin of the upfront fee </w:t>
            </w:r>
          </w:p>
        </w:tc>
      </w:tr>
      <w:tr w:rsidR="008C2E1F" w:rsidRPr="00FB31E3" w14:paraId="3A3E019D" w14:textId="77777777" w:rsidTr="0016491C">
        <w:tc>
          <w:tcPr>
            <w:tcW w:w="9353" w:type="dxa"/>
            <w:gridSpan w:val="10"/>
            <w:tcBorders>
              <w:top w:val="double" w:sz="4" w:space="0" w:color="auto"/>
            </w:tcBorders>
          </w:tcPr>
          <w:p w14:paraId="3FFF2512" w14:textId="77777777" w:rsidR="008C2E1F" w:rsidRPr="00B84808" w:rsidRDefault="008C2E1F" w:rsidP="00BC0222">
            <w:pPr>
              <w:rPr>
                <w:rFonts w:asciiTheme="majorHAnsi" w:hAnsiTheme="majorHAnsi"/>
                <w:b/>
                <w:sz w:val="20"/>
                <w:szCs w:val="20"/>
                <w:lang w:val="en-US"/>
              </w:rPr>
            </w:pPr>
            <w:r w:rsidRPr="00B84808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 xml:space="preserve">Special </w:t>
            </w:r>
            <w:r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>provisions</w:t>
            </w:r>
            <w:r w:rsidRPr="00B84808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>:</w:t>
            </w:r>
            <w:r w:rsidR="00BC0222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8C2E1F" w:rsidRPr="00EF0556" w14:paraId="3BE58021" w14:textId="77777777" w:rsidTr="0016491C">
        <w:tc>
          <w:tcPr>
            <w:tcW w:w="9353" w:type="dxa"/>
            <w:gridSpan w:val="10"/>
            <w:tcBorders>
              <w:bottom w:val="single" w:sz="2" w:space="0" w:color="auto"/>
            </w:tcBorders>
          </w:tcPr>
          <w:p w14:paraId="77D0C391" w14:textId="77777777" w:rsidR="008C2E1F" w:rsidRPr="0073382B" w:rsidRDefault="008C2E1F" w:rsidP="00466E92">
            <w:pPr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73382B">
              <w:rPr>
                <w:rFonts w:asciiTheme="majorHAnsi" w:hAnsiTheme="majorHAnsi"/>
                <w:b/>
                <w:sz w:val="20"/>
                <w:szCs w:val="20"/>
                <w:u w:val="single"/>
                <w:lang w:val="en-US"/>
              </w:rPr>
              <w:t>Onboarding fee:</w:t>
            </w:r>
            <w:r w:rsidRPr="0073382B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The DAC, through its custodians, is aware of distributed nature of ownership in the assets of the DAC and the resulting difficulties the Service-Provider may encounter in collecting and/or enforcing claims under this Agreement against the DAC, the custodians of the DAC's members, in particular given the terms agreed in Section 12 of the T&amp;C. The DAC acknowledges that, in contemplation of these considerations, the Service Provider 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had to incur</w:t>
            </w:r>
            <w:r w:rsidRPr="0073382B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certain expenses in view of entering into this 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a</w:t>
            </w:r>
            <w:r w:rsidRPr="0073382B">
              <w:rPr>
                <w:rFonts w:asciiTheme="majorHAnsi" w:hAnsiTheme="majorHAnsi"/>
                <w:sz w:val="20"/>
                <w:szCs w:val="20"/>
                <w:lang w:val="en-US"/>
              </w:rPr>
              <w:t>greement.</w:t>
            </w:r>
          </w:p>
          <w:p w14:paraId="1EEB8238" w14:textId="14C1FC9C" w:rsidR="008C2E1F" w:rsidRPr="0073382B" w:rsidRDefault="008C2E1F" w:rsidP="00466E92">
            <w:pPr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bookmarkStart w:id="0" w:name="_Ref528320594"/>
            <w:r w:rsidRPr="0073382B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In compensation of such onboarding expenses, the DAC shall pay into the Service Provider's 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b</w:t>
            </w:r>
            <w:r w:rsidRPr="0073382B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ank 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a</w:t>
            </w:r>
            <w:r w:rsidRPr="0073382B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ccount or in such other way as 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in the payment terms below</w:t>
            </w:r>
            <w:r w:rsidRPr="0073382B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, a lump amount of </w:t>
            </w:r>
            <w:r w:rsidR="00B806C1">
              <w:rPr>
                <w:rFonts w:asciiTheme="majorHAnsi" w:hAnsiTheme="majorHAnsi"/>
                <w:sz w:val="20"/>
                <w:szCs w:val="20"/>
                <w:lang w:val="en-US"/>
              </w:rPr>
              <w:t>GBP </w:t>
            </w:r>
            <w:proofErr w:type="gramStart"/>
            <w:r w:rsidR="00CA241C">
              <w:rPr>
                <w:rFonts w:asciiTheme="majorHAnsi" w:hAnsiTheme="majorHAnsi"/>
                <w:sz w:val="20"/>
                <w:szCs w:val="20"/>
                <w:lang w:val="en-US"/>
              </w:rPr>
              <w:t>5,300</w:t>
            </w:r>
            <w:r w:rsidR="00DB1D4D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r w:rsidRPr="0073382B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(</w:t>
            </w:r>
            <w:proofErr w:type="gramEnd"/>
            <w:r w:rsidRPr="0073382B">
              <w:rPr>
                <w:rFonts w:asciiTheme="majorHAnsi" w:hAnsiTheme="majorHAnsi"/>
                <w:sz w:val="20"/>
                <w:szCs w:val="20"/>
                <w:lang w:val="en-US"/>
              </w:rPr>
              <w:t>the "</w:t>
            </w:r>
            <w:r w:rsidRPr="0073382B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>Onboarding Fee</w:t>
            </w:r>
            <w:r w:rsidRPr="0073382B">
              <w:rPr>
                <w:rFonts w:asciiTheme="majorHAnsi" w:hAnsiTheme="majorHAnsi"/>
                <w:sz w:val="20"/>
                <w:szCs w:val="20"/>
                <w:lang w:val="en-US"/>
              </w:rPr>
              <w:t>").</w:t>
            </w:r>
            <w:bookmarkEnd w:id="0"/>
          </w:p>
          <w:p w14:paraId="4BEF7197" w14:textId="77777777" w:rsidR="008C2E1F" w:rsidRPr="00FB31E3" w:rsidRDefault="008C2E1F" w:rsidP="00466E92">
            <w:pPr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73382B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The Service Provider shall have no obligation to carry out or provide any Services under this 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a</w:t>
            </w:r>
            <w:r w:rsidRPr="0073382B">
              <w:rPr>
                <w:rFonts w:asciiTheme="majorHAnsi" w:hAnsiTheme="majorHAnsi"/>
                <w:sz w:val="20"/>
                <w:szCs w:val="20"/>
                <w:lang w:val="en-US"/>
              </w:rPr>
              <w:t>greement before and unless the Onboarding Fee has fully been settled in accordance with the foregoing.</w:t>
            </w:r>
          </w:p>
        </w:tc>
      </w:tr>
      <w:tr w:rsidR="008C2E1F" w:rsidRPr="00EF0556" w14:paraId="421BBCC0" w14:textId="77777777" w:rsidTr="0016491C">
        <w:tc>
          <w:tcPr>
            <w:tcW w:w="9353" w:type="dxa"/>
            <w:gridSpan w:val="10"/>
            <w:tcBorders>
              <w:top w:val="double" w:sz="4" w:space="0" w:color="auto"/>
            </w:tcBorders>
          </w:tcPr>
          <w:p w14:paraId="36464D99" w14:textId="77777777" w:rsidR="008C2E1F" w:rsidRPr="00B84808" w:rsidRDefault="008C2E1F" w:rsidP="00466E92">
            <w:pPr>
              <w:rPr>
                <w:rFonts w:asciiTheme="majorHAnsi" w:hAnsiTheme="majorHAnsi"/>
                <w:b/>
                <w:sz w:val="20"/>
                <w:szCs w:val="20"/>
                <w:lang w:val="en-US"/>
              </w:rPr>
            </w:pPr>
            <w:r w:rsidRPr="00B84808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>Payment terms:</w:t>
            </w:r>
          </w:p>
        </w:tc>
      </w:tr>
      <w:tr w:rsidR="00F905EC" w:rsidRPr="00EF0556" w14:paraId="4C319A93" w14:textId="77777777" w:rsidTr="0016491C">
        <w:tc>
          <w:tcPr>
            <w:tcW w:w="1104" w:type="dxa"/>
            <w:gridSpan w:val="2"/>
          </w:tcPr>
          <w:p w14:paraId="3D24E73E" w14:textId="77777777" w:rsidR="008C2E1F" w:rsidRPr="00FB31E3" w:rsidRDefault="0070217D" w:rsidP="00466E92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Payment</w:t>
            </w:r>
            <w:r w:rsidR="008C2E1F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Arbitrator:</w:t>
            </w:r>
          </w:p>
        </w:tc>
        <w:tc>
          <w:tcPr>
            <w:tcW w:w="3190" w:type="dxa"/>
            <w:gridSpan w:val="2"/>
          </w:tcPr>
          <w:p w14:paraId="4BC81907" w14:textId="77777777" w:rsidR="008C2E1F" w:rsidRPr="00FB31E3" w:rsidRDefault="00EF0556" w:rsidP="00466E92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1786" w:type="dxa"/>
            <w:gridSpan w:val="2"/>
          </w:tcPr>
          <w:p w14:paraId="567503C6" w14:textId="77777777" w:rsidR="008C2E1F" w:rsidRPr="00FB31E3" w:rsidRDefault="008C2E1F" w:rsidP="00466E92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Special pay. terms:</w:t>
            </w:r>
          </w:p>
        </w:tc>
        <w:tc>
          <w:tcPr>
            <w:tcW w:w="3273" w:type="dxa"/>
            <w:gridSpan w:val="4"/>
          </w:tcPr>
          <w:p w14:paraId="621EA1CA" w14:textId="306DFC21" w:rsidR="008C2E1F" w:rsidRPr="00FB31E3" w:rsidRDefault="00DB1D4D" w:rsidP="00466E92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n/a</w:t>
            </w:r>
          </w:p>
        </w:tc>
      </w:tr>
      <w:tr w:rsidR="008C2E1F" w:rsidRPr="00EF0556" w14:paraId="3B9DEC41" w14:textId="77777777" w:rsidTr="0016491C">
        <w:tc>
          <w:tcPr>
            <w:tcW w:w="1104" w:type="dxa"/>
            <w:gridSpan w:val="2"/>
          </w:tcPr>
          <w:p w14:paraId="2603CB3A" w14:textId="77777777" w:rsidR="008C2E1F" w:rsidRDefault="008C2E1F" w:rsidP="00466E92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  <w:lang w:val="en-US"/>
              </w:rPr>
              <w:t>MultiSig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Wallet:</w:t>
            </w:r>
          </w:p>
        </w:tc>
        <w:tc>
          <w:tcPr>
            <w:tcW w:w="8249" w:type="dxa"/>
            <w:gridSpan w:val="8"/>
          </w:tcPr>
          <w:p w14:paraId="7A983108" w14:textId="58C57824" w:rsidR="008C2E1F" w:rsidRDefault="00DB1D4D" w:rsidP="00466E92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T</w:t>
            </w:r>
            <w:r w:rsidR="00EF0556">
              <w:rPr>
                <w:rFonts w:asciiTheme="majorHAnsi" w:hAnsiTheme="majorHAnsi"/>
                <w:sz w:val="20"/>
                <w:szCs w:val="20"/>
                <w:lang w:val="en-US"/>
              </w:rPr>
              <w:t>he Service Fee is paid into the Service</w:t>
            </w:r>
            <w:r w:rsidR="00B806C1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Provider's wallet: </w:t>
            </w:r>
            <w:proofErr w:type="spellStart"/>
            <w:r w:rsidR="00B806C1">
              <w:rPr>
                <w:rFonts w:asciiTheme="majorHAnsi" w:hAnsiTheme="majorHAnsi"/>
                <w:sz w:val="20"/>
                <w:szCs w:val="20"/>
                <w:lang w:val="en-US"/>
              </w:rPr>
              <w:t>dacocoi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ofund</w:t>
            </w:r>
            <w:proofErr w:type="spellEnd"/>
          </w:p>
        </w:tc>
      </w:tr>
      <w:tr w:rsidR="00DB1D4D" w:rsidRPr="00EF0556" w14:paraId="065C7F87" w14:textId="77777777" w:rsidTr="0016491C">
        <w:tc>
          <w:tcPr>
            <w:tcW w:w="1104" w:type="dxa"/>
            <w:gridSpan w:val="2"/>
          </w:tcPr>
          <w:p w14:paraId="36824EB2" w14:textId="6D06C8CC" w:rsidR="00DB1D4D" w:rsidRDefault="00DB1D4D" w:rsidP="00466E92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Bank account:</w:t>
            </w:r>
          </w:p>
        </w:tc>
        <w:tc>
          <w:tcPr>
            <w:tcW w:w="8249" w:type="dxa"/>
            <w:gridSpan w:val="8"/>
          </w:tcPr>
          <w:p w14:paraId="07D75FE9" w14:textId="18FE72C9" w:rsidR="00DB1D4D" w:rsidRPr="00DB1D4D" w:rsidRDefault="00DB1D4D" w:rsidP="00DB1D4D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The Onboarding Fee is paid into the Service Provider’s bank account: </w:t>
            </w:r>
            <w:proofErr w:type="spellStart"/>
            <w:r w:rsidRPr="00DB1D4D">
              <w:rPr>
                <w:rFonts w:asciiTheme="majorHAnsi" w:hAnsiTheme="majorHAnsi"/>
                <w:sz w:val="20"/>
                <w:szCs w:val="20"/>
                <w:lang w:val="en-US"/>
              </w:rPr>
              <w:t>Dacoco</w:t>
            </w:r>
            <w:proofErr w:type="spellEnd"/>
            <w:r w:rsidRPr="00DB1D4D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B1D4D">
              <w:rPr>
                <w:rFonts w:asciiTheme="majorHAnsi" w:hAnsiTheme="majorHAnsi"/>
                <w:sz w:val="20"/>
                <w:szCs w:val="20"/>
                <w:lang w:val="en-US"/>
              </w:rPr>
              <w:t>Gmbh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, </w:t>
            </w:r>
            <w:r w:rsidRPr="00DB1D4D">
              <w:rPr>
                <w:rFonts w:asciiTheme="majorHAnsi" w:hAnsiTheme="majorHAnsi"/>
                <w:sz w:val="20"/>
                <w:szCs w:val="20"/>
                <w:lang w:val="en-US"/>
              </w:rPr>
              <w:t>Account number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r w:rsidRPr="00DB1D4D">
              <w:rPr>
                <w:rFonts w:asciiTheme="majorHAnsi" w:hAnsiTheme="majorHAnsi"/>
                <w:sz w:val="20"/>
                <w:szCs w:val="20"/>
                <w:lang w:val="en-US"/>
              </w:rPr>
              <w:t>38492804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, </w:t>
            </w:r>
            <w:r w:rsidRPr="00DB1D4D">
              <w:rPr>
                <w:rFonts w:asciiTheme="majorHAnsi" w:hAnsiTheme="majorHAnsi"/>
                <w:sz w:val="20"/>
                <w:szCs w:val="20"/>
                <w:lang w:val="en-US"/>
              </w:rPr>
              <w:t>UK Sort Code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r w:rsidRPr="00DB1D4D">
              <w:rPr>
                <w:rFonts w:asciiTheme="majorHAnsi" w:hAnsiTheme="majorHAnsi"/>
                <w:sz w:val="20"/>
                <w:szCs w:val="20"/>
                <w:lang w:val="en-US"/>
              </w:rPr>
              <w:t>23-14-70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; I</w:t>
            </w:r>
            <w:r w:rsidRPr="00DB1D4D">
              <w:rPr>
                <w:rFonts w:asciiTheme="majorHAnsi" w:hAnsiTheme="majorHAnsi"/>
                <w:sz w:val="20"/>
                <w:szCs w:val="20"/>
                <w:lang w:val="en-US"/>
              </w:rPr>
              <w:t>BAN GB11 TRWI 2314 7038 4928 04</w:t>
            </w:r>
          </w:p>
          <w:p w14:paraId="4011CFC5" w14:textId="0C5046D0" w:rsidR="00DB1D4D" w:rsidRDefault="00DB1D4D" w:rsidP="00DB1D4D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</w:p>
        </w:tc>
      </w:tr>
      <w:tr w:rsidR="008C2E1F" w:rsidRPr="00FB31E3" w14:paraId="61250B75" w14:textId="77777777" w:rsidTr="002D163F">
        <w:tc>
          <w:tcPr>
            <w:tcW w:w="9353" w:type="dxa"/>
            <w:gridSpan w:val="10"/>
            <w:tcBorders>
              <w:top w:val="double" w:sz="4" w:space="0" w:color="auto"/>
              <w:bottom w:val="single" w:sz="4" w:space="0" w:color="auto"/>
            </w:tcBorders>
          </w:tcPr>
          <w:p w14:paraId="39F7592E" w14:textId="49B6E0E9" w:rsidR="002D163F" w:rsidRPr="002D163F" w:rsidRDefault="008C2E1F" w:rsidP="00466E92">
            <w:pPr>
              <w:rPr>
                <w:rFonts w:asciiTheme="majorHAnsi" w:hAnsiTheme="majorHAnsi"/>
                <w:b/>
                <w:sz w:val="20"/>
                <w:szCs w:val="20"/>
                <w:lang w:val="en-US"/>
              </w:rPr>
            </w:pPr>
            <w:r w:rsidRPr="008C2E1F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>Signatures:</w:t>
            </w:r>
          </w:p>
        </w:tc>
      </w:tr>
      <w:tr w:rsidR="002D163F" w:rsidRPr="00FB31E3" w14:paraId="4AA42245" w14:textId="77777777" w:rsidTr="002D163F">
        <w:tc>
          <w:tcPr>
            <w:tcW w:w="9353" w:type="dxa"/>
            <w:gridSpan w:val="10"/>
            <w:tcBorders>
              <w:top w:val="single" w:sz="4" w:space="0" w:color="auto"/>
            </w:tcBorders>
          </w:tcPr>
          <w:p w14:paraId="721E40CD" w14:textId="2CAA1A31" w:rsidR="002D163F" w:rsidRPr="002D163F" w:rsidRDefault="002D163F" w:rsidP="002D163F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For Purchaser: Purchaser</w:t>
            </w:r>
            <w:r w:rsidRPr="002D163F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shall enter into and be bound by this Agreement through the affirmative vote of 7 (seven) of its custodians on a motion to </w:t>
            </w:r>
            <w:proofErr w:type="spellStart"/>
            <w:r w:rsidRPr="002D163F">
              <w:rPr>
                <w:rFonts w:asciiTheme="majorHAnsi" w:hAnsiTheme="majorHAnsi"/>
                <w:sz w:val="20"/>
                <w:szCs w:val="20"/>
                <w:lang w:val="en-US"/>
              </w:rPr>
              <w:t>ap</w:t>
            </w:r>
            <w:proofErr w:type="spellEnd"/>
            <w:r w:rsidRPr="002D163F">
              <w:rPr>
                <w:rFonts w:asciiTheme="majorHAnsi" w:hAnsiTheme="majorHAnsi"/>
                <w:sz w:val="20"/>
                <w:szCs w:val="20"/>
                <w:lang w:val="en-US"/>
              </w:rPr>
              <w:t>-prove this Agreement, submitted in observance with its constitution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. </w:t>
            </w:r>
          </w:p>
          <w:p w14:paraId="25532755" w14:textId="70E43A7B" w:rsidR="002D163F" w:rsidRDefault="002D163F" w:rsidP="002D163F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2D163F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Such </w:t>
            </w:r>
            <w:proofErr w:type="gramStart"/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vote </w:t>
            </w:r>
            <w:r w:rsidRPr="002D163F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shall</w:t>
            </w:r>
            <w:proofErr w:type="gramEnd"/>
            <w:r w:rsidRPr="002D163F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, in all regards, be deemed a binding engagement of 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Purchaser</w:t>
            </w:r>
            <w:r w:rsidRPr="002D163F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and be regarded as fully equivalent to a valid and binding written execution of this deed by and/or on behalf of 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Purchaser</w:t>
            </w:r>
            <w:r w:rsidRPr="002D163F">
              <w:rPr>
                <w:rFonts w:asciiTheme="majorHAnsi" w:hAnsiTheme="majorHAnsi"/>
                <w:sz w:val="20"/>
                <w:szCs w:val="20"/>
                <w:lang w:val="en-US"/>
              </w:rPr>
              <w:t>.</w:t>
            </w:r>
          </w:p>
          <w:p w14:paraId="7EA46CCD" w14:textId="39C07F63" w:rsidR="002D163F" w:rsidRDefault="002D163F" w:rsidP="002D163F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For the Service Provider: Service Provider </w:t>
            </w:r>
            <w:r w:rsidRPr="002D163F">
              <w:rPr>
                <w:rFonts w:asciiTheme="majorHAnsi" w:hAnsiTheme="majorHAnsi"/>
                <w:sz w:val="20"/>
                <w:szCs w:val="20"/>
                <w:lang w:val="en-US"/>
              </w:rPr>
              <w:t>shall enter into and be bound by this Agreement by executing this deed in writ-ten form.</w:t>
            </w:r>
          </w:p>
          <w:p w14:paraId="182B27D7" w14:textId="29365B23" w:rsidR="002D163F" w:rsidRPr="008C2E1F" w:rsidRDefault="002D163F" w:rsidP="002D163F">
            <w:pPr>
              <w:rPr>
                <w:rFonts w:asciiTheme="majorHAnsi" w:hAnsiTheme="majorHAnsi"/>
                <w:b/>
                <w:sz w:val="20"/>
                <w:szCs w:val="20"/>
                <w:lang w:val="en-US"/>
              </w:rPr>
            </w:pPr>
          </w:p>
        </w:tc>
      </w:tr>
      <w:tr w:rsidR="00F905EC" w:rsidRPr="00FB31E3" w14:paraId="10B4EF2C" w14:textId="77777777" w:rsidTr="0016491C">
        <w:tc>
          <w:tcPr>
            <w:tcW w:w="1104" w:type="dxa"/>
            <w:gridSpan w:val="2"/>
            <w:tcBorders>
              <w:bottom w:val="double" w:sz="4" w:space="0" w:color="auto"/>
            </w:tcBorders>
          </w:tcPr>
          <w:p w14:paraId="653567DC" w14:textId="77777777" w:rsidR="008C2E1F" w:rsidRDefault="008C2E1F" w:rsidP="00466E92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For the Purchaser:</w:t>
            </w:r>
          </w:p>
        </w:tc>
        <w:tc>
          <w:tcPr>
            <w:tcW w:w="3190" w:type="dxa"/>
            <w:gridSpan w:val="2"/>
            <w:tcBorders>
              <w:bottom w:val="double" w:sz="4" w:space="0" w:color="auto"/>
            </w:tcBorders>
          </w:tcPr>
          <w:p w14:paraId="4CDE5364" w14:textId="77777777" w:rsidR="000D3957" w:rsidRDefault="000D3957" w:rsidP="00466E92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</w:p>
          <w:p w14:paraId="7EBC23F5" w14:textId="77777777" w:rsidR="008C2E1F" w:rsidRDefault="008C2E1F" w:rsidP="00466E92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_____________________________</w:t>
            </w:r>
          </w:p>
          <w:p w14:paraId="3D0C2DF6" w14:textId="6715FD45" w:rsidR="008C2E1F" w:rsidRDefault="009929FB" w:rsidP="00466E92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Custodia</w:t>
            </w:r>
            <w:bookmarkStart w:id="1" w:name="_GoBack"/>
            <w:bookmarkEnd w:id="1"/>
            <w:r w:rsidR="00161E78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vote </w:t>
            </w:r>
            <w:r w:rsidR="00011ED1">
              <w:rPr>
                <w:rFonts w:asciiTheme="majorHAnsi" w:hAnsiTheme="majorHAnsi"/>
                <w:sz w:val="20"/>
                <w:szCs w:val="20"/>
                <w:lang w:val="en-US"/>
              </w:rPr>
              <w:t>found at [link to TX]</w:t>
            </w:r>
          </w:p>
          <w:p w14:paraId="12BC60A6" w14:textId="331EBB82" w:rsidR="00161E78" w:rsidRDefault="00161E78" w:rsidP="00466E92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</w:p>
        </w:tc>
        <w:tc>
          <w:tcPr>
            <w:tcW w:w="1083" w:type="dxa"/>
            <w:tcBorders>
              <w:bottom w:val="double" w:sz="4" w:space="0" w:color="auto"/>
            </w:tcBorders>
          </w:tcPr>
          <w:p w14:paraId="5FD4707B" w14:textId="77777777" w:rsidR="008C2E1F" w:rsidRDefault="008C2E1F" w:rsidP="00466E92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For the Service Provider:</w:t>
            </w:r>
          </w:p>
        </w:tc>
        <w:tc>
          <w:tcPr>
            <w:tcW w:w="3976" w:type="dxa"/>
            <w:gridSpan w:val="5"/>
            <w:tcBorders>
              <w:bottom w:val="double" w:sz="4" w:space="0" w:color="auto"/>
            </w:tcBorders>
          </w:tcPr>
          <w:p w14:paraId="73EC1704" w14:textId="77777777" w:rsidR="008C2E1F" w:rsidRDefault="008C2E1F" w:rsidP="008C2E1F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</w:p>
          <w:p w14:paraId="433BE9B7" w14:textId="77777777" w:rsidR="008C2E1F" w:rsidRDefault="008C2E1F" w:rsidP="008C2E1F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__________,__________________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br/>
              <w:t>Place, date</w:t>
            </w:r>
          </w:p>
          <w:p w14:paraId="6C81F5A8" w14:textId="77777777" w:rsidR="008C2E1F" w:rsidRDefault="008C2E1F" w:rsidP="008C2E1F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_____________________________</w:t>
            </w:r>
          </w:p>
          <w:p w14:paraId="50BA289D" w14:textId="3E6C7915" w:rsidR="008C2E1F" w:rsidRDefault="00011ED1" w:rsidP="008C2E1F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[</w:t>
            </w:r>
            <w:proofErr w:type="spellStart"/>
            <w:r w:rsidR="00171EF1">
              <w:rPr>
                <w:rFonts w:asciiTheme="majorHAnsi" w:hAnsiTheme="majorHAnsi"/>
                <w:sz w:val="20"/>
                <w:szCs w:val="20"/>
                <w:lang w:val="en-US"/>
              </w:rPr>
              <w:t>Sarojini</w:t>
            </w:r>
            <w:proofErr w:type="spellEnd"/>
            <w:r w:rsidR="00171EF1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McKenna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]</w:t>
            </w:r>
          </w:p>
        </w:tc>
      </w:tr>
      <w:tr w:rsidR="008C2E1F" w:rsidRPr="00EF0556" w14:paraId="467F3892" w14:textId="77777777" w:rsidTr="0016491C">
        <w:tc>
          <w:tcPr>
            <w:tcW w:w="1104" w:type="dxa"/>
            <w:gridSpan w:val="2"/>
            <w:tcBorders>
              <w:top w:val="double" w:sz="4" w:space="0" w:color="auto"/>
            </w:tcBorders>
          </w:tcPr>
          <w:p w14:paraId="08482030" w14:textId="77777777" w:rsidR="008C2E1F" w:rsidRPr="008C2E1F" w:rsidRDefault="008C2E1F" w:rsidP="00466E92">
            <w:pPr>
              <w:rPr>
                <w:rFonts w:asciiTheme="majorHAnsi" w:hAnsiTheme="majorHAnsi"/>
                <w:b/>
                <w:sz w:val="20"/>
                <w:szCs w:val="20"/>
                <w:lang w:val="en-US"/>
              </w:rPr>
            </w:pPr>
            <w:r w:rsidRPr="008C2E1F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>Annexes:</w:t>
            </w:r>
          </w:p>
        </w:tc>
        <w:tc>
          <w:tcPr>
            <w:tcW w:w="8249" w:type="dxa"/>
            <w:gridSpan w:val="8"/>
            <w:tcBorders>
              <w:top w:val="double" w:sz="4" w:space="0" w:color="auto"/>
            </w:tcBorders>
          </w:tcPr>
          <w:p w14:paraId="054F1903" w14:textId="51968232" w:rsidR="00EF0556" w:rsidRPr="0016491C" w:rsidRDefault="008C2E1F" w:rsidP="0016491C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8C2E1F">
              <w:rPr>
                <w:rFonts w:asciiTheme="majorHAnsi" w:hAnsiTheme="majorHAnsi"/>
                <w:sz w:val="20"/>
                <w:szCs w:val="20"/>
                <w:lang w:val="en-US"/>
              </w:rPr>
              <w:t>T&amp;C of the Service Provider, version 1.0, December 2018</w:t>
            </w:r>
          </w:p>
        </w:tc>
      </w:tr>
    </w:tbl>
    <w:p w14:paraId="5F024CBC" w14:textId="4CCDBD4B" w:rsidR="00EF0556" w:rsidRPr="0016491C" w:rsidRDefault="00EF0556" w:rsidP="0016491C">
      <w:pPr>
        <w:rPr>
          <w:rFonts w:asciiTheme="majorHAnsi" w:hAnsiTheme="majorHAnsi"/>
          <w:b/>
          <w:lang w:val="en-US"/>
        </w:rPr>
      </w:pPr>
    </w:p>
    <w:p w14:paraId="7646B47E" w14:textId="77777777" w:rsidR="00EF0556" w:rsidRPr="00EF0556" w:rsidRDefault="00EF0556" w:rsidP="00EF0556">
      <w:p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</w:p>
    <w:sectPr w:rsidR="00EF0556" w:rsidRPr="00EF0556" w:rsidSect="00171B6F">
      <w:pgSz w:w="11906" w:h="16838"/>
      <w:pgMar w:top="1021" w:right="1418" w:bottom="102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51D7"/>
    <w:multiLevelType w:val="hybridMultilevel"/>
    <w:tmpl w:val="EB2A3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924FA"/>
    <w:multiLevelType w:val="hybridMultilevel"/>
    <w:tmpl w:val="0B200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A64F6"/>
    <w:multiLevelType w:val="hybridMultilevel"/>
    <w:tmpl w:val="2D48ACEA"/>
    <w:lvl w:ilvl="0" w:tplc="51221D6C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B2DDC"/>
    <w:multiLevelType w:val="hybridMultilevel"/>
    <w:tmpl w:val="AAFAB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F297A"/>
    <w:multiLevelType w:val="hybridMultilevel"/>
    <w:tmpl w:val="B31CB330"/>
    <w:lvl w:ilvl="0" w:tplc="0409000F">
      <w:start w:val="1"/>
      <w:numFmt w:val="decimal"/>
      <w:lvlText w:val="%1."/>
      <w:lvlJc w:val="left"/>
      <w:pPr>
        <w:ind w:left="896" w:hanging="360"/>
      </w:pPr>
    </w:lvl>
    <w:lvl w:ilvl="1" w:tplc="04090019" w:tentative="1">
      <w:start w:val="1"/>
      <w:numFmt w:val="lowerLetter"/>
      <w:lvlText w:val="%2."/>
      <w:lvlJc w:val="left"/>
      <w:pPr>
        <w:ind w:left="1616" w:hanging="360"/>
      </w:pPr>
    </w:lvl>
    <w:lvl w:ilvl="2" w:tplc="0409001B" w:tentative="1">
      <w:start w:val="1"/>
      <w:numFmt w:val="lowerRoman"/>
      <w:lvlText w:val="%3."/>
      <w:lvlJc w:val="right"/>
      <w:pPr>
        <w:ind w:left="2336" w:hanging="180"/>
      </w:pPr>
    </w:lvl>
    <w:lvl w:ilvl="3" w:tplc="0409000F" w:tentative="1">
      <w:start w:val="1"/>
      <w:numFmt w:val="decimal"/>
      <w:lvlText w:val="%4."/>
      <w:lvlJc w:val="left"/>
      <w:pPr>
        <w:ind w:left="3056" w:hanging="360"/>
      </w:pPr>
    </w:lvl>
    <w:lvl w:ilvl="4" w:tplc="04090019" w:tentative="1">
      <w:start w:val="1"/>
      <w:numFmt w:val="lowerLetter"/>
      <w:lvlText w:val="%5."/>
      <w:lvlJc w:val="left"/>
      <w:pPr>
        <w:ind w:left="3776" w:hanging="360"/>
      </w:pPr>
    </w:lvl>
    <w:lvl w:ilvl="5" w:tplc="0409001B" w:tentative="1">
      <w:start w:val="1"/>
      <w:numFmt w:val="lowerRoman"/>
      <w:lvlText w:val="%6."/>
      <w:lvlJc w:val="right"/>
      <w:pPr>
        <w:ind w:left="4496" w:hanging="180"/>
      </w:pPr>
    </w:lvl>
    <w:lvl w:ilvl="6" w:tplc="0409000F" w:tentative="1">
      <w:start w:val="1"/>
      <w:numFmt w:val="decimal"/>
      <w:lvlText w:val="%7."/>
      <w:lvlJc w:val="left"/>
      <w:pPr>
        <w:ind w:left="5216" w:hanging="360"/>
      </w:pPr>
    </w:lvl>
    <w:lvl w:ilvl="7" w:tplc="04090019" w:tentative="1">
      <w:start w:val="1"/>
      <w:numFmt w:val="lowerLetter"/>
      <w:lvlText w:val="%8."/>
      <w:lvlJc w:val="left"/>
      <w:pPr>
        <w:ind w:left="5936" w:hanging="360"/>
      </w:pPr>
    </w:lvl>
    <w:lvl w:ilvl="8" w:tplc="040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5" w15:restartNumberingAfterBreak="0">
    <w:nsid w:val="5DA72179"/>
    <w:multiLevelType w:val="hybridMultilevel"/>
    <w:tmpl w:val="B7E8D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292107"/>
    <w:multiLevelType w:val="hybridMultilevel"/>
    <w:tmpl w:val="6F268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E40CB"/>
    <w:multiLevelType w:val="hybridMultilevel"/>
    <w:tmpl w:val="EFA06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B4654"/>
    <w:multiLevelType w:val="hybridMultilevel"/>
    <w:tmpl w:val="B156E58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D725763"/>
    <w:multiLevelType w:val="hybridMultilevel"/>
    <w:tmpl w:val="58866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9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05"/>
    <w:rsid w:val="00011ED1"/>
    <w:rsid w:val="000A07D7"/>
    <w:rsid w:val="000D3957"/>
    <w:rsid w:val="00161E78"/>
    <w:rsid w:val="0016491C"/>
    <w:rsid w:val="00171B6F"/>
    <w:rsid w:val="00171EF1"/>
    <w:rsid w:val="0029652A"/>
    <w:rsid w:val="002D163F"/>
    <w:rsid w:val="002D69DE"/>
    <w:rsid w:val="0044621F"/>
    <w:rsid w:val="00466E92"/>
    <w:rsid w:val="005A6781"/>
    <w:rsid w:val="0070217D"/>
    <w:rsid w:val="0073382B"/>
    <w:rsid w:val="00883805"/>
    <w:rsid w:val="008C2E1F"/>
    <w:rsid w:val="00926345"/>
    <w:rsid w:val="009929FB"/>
    <w:rsid w:val="009D56E1"/>
    <w:rsid w:val="00B806C1"/>
    <w:rsid w:val="00B84808"/>
    <w:rsid w:val="00BC0222"/>
    <w:rsid w:val="00C67442"/>
    <w:rsid w:val="00CA241C"/>
    <w:rsid w:val="00D30383"/>
    <w:rsid w:val="00DB1D4D"/>
    <w:rsid w:val="00E64245"/>
    <w:rsid w:val="00EF0556"/>
    <w:rsid w:val="00F314EE"/>
    <w:rsid w:val="00F5465B"/>
    <w:rsid w:val="00F905EC"/>
    <w:rsid w:val="00FB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E08A5"/>
  <w15:chartTrackingRefBased/>
  <w15:docId w15:val="{8C03C5EA-B834-4C41-B3F2-D38690FE2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31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63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3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0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57EA9-8EAF-44E2-8460-0D804CA89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Bär &amp; Karrer AG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Bär &amp; Karrer</dc:creator>
  <cp:keywords/>
  <dc:description/>
  <cp:lastModifiedBy>Windows User</cp:lastModifiedBy>
  <cp:revision>4</cp:revision>
  <cp:lastPrinted>2018-12-29T17:59:00Z</cp:lastPrinted>
  <dcterms:created xsi:type="dcterms:W3CDTF">2020-01-29T11:38:00Z</dcterms:created>
  <dcterms:modified xsi:type="dcterms:W3CDTF">2020-02-12T11:59:00Z</dcterms:modified>
</cp:coreProperties>
</file>