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48140" w14:textId="77777777" w:rsidR="00F10B33" w:rsidRDefault="00F10B33" w:rsidP="005118D8">
      <w:pPr>
        <w:jc w:val="center"/>
        <w:rPr>
          <w:rFonts w:ascii="Times New Roman" w:hAnsi="Times New Roman" w:cs="Times New Roman"/>
          <w:sz w:val="24"/>
          <w:szCs w:val="24"/>
        </w:rPr>
      </w:pPr>
    </w:p>
    <w:p w14:paraId="1D9F5895" w14:textId="77777777" w:rsidR="00F10B33" w:rsidRDefault="00F10B33" w:rsidP="005118D8">
      <w:pPr>
        <w:jc w:val="center"/>
        <w:rPr>
          <w:rFonts w:ascii="Times New Roman" w:hAnsi="Times New Roman" w:cs="Times New Roman"/>
          <w:sz w:val="24"/>
          <w:szCs w:val="24"/>
        </w:rPr>
      </w:pPr>
    </w:p>
    <w:p w14:paraId="051607ED" w14:textId="77777777" w:rsidR="00F10B33" w:rsidRDefault="00F10B33" w:rsidP="005118D8">
      <w:pPr>
        <w:jc w:val="center"/>
        <w:rPr>
          <w:rFonts w:ascii="Times New Roman" w:hAnsi="Times New Roman" w:cs="Times New Roman"/>
          <w:sz w:val="24"/>
          <w:szCs w:val="24"/>
        </w:rPr>
      </w:pPr>
    </w:p>
    <w:p w14:paraId="6ED48266" w14:textId="77777777" w:rsidR="00F10B33" w:rsidRDefault="00F10B33" w:rsidP="005118D8">
      <w:pPr>
        <w:jc w:val="center"/>
        <w:rPr>
          <w:rFonts w:ascii="Times New Roman" w:hAnsi="Times New Roman" w:cs="Times New Roman"/>
          <w:sz w:val="24"/>
          <w:szCs w:val="24"/>
        </w:rPr>
      </w:pPr>
    </w:p>
    <w:p w14:paraId="699B667B" w14:textId="77777777" w:rsidR="00F10B33" w:rsidRDefault="00F10B33" w:rsidP="005118D8">
      <w:pPr>
        <w:jc w:val="center"/>
        <w:rPr>
          <w:rFonts w:ascii="Times New Roman" w:hAnsi="Times New Roman" w:cs="Times New Roman"/>
          <w:sz w:val="24"/>
          <w:szCs w:val="24"/>
        </w:rPr>
      </w:pPr>
    </w:p>
    <w:p w14:paraId="09B77E63" w14:textId="77777777" w:rsidR="00F10B33" w:rsidRDefault="00F10B33" w:rsidP="005118D8">
      <w:pPr>
        <w:jc w:val="center"/>
        <w:rPr>
          <w:rFonts w:ascii="Times New Roman" w:hAnsi="Times New Roman" w:cs="Times New Roman"/>
          <w:sz w:val="24"/>
          <w:szCs w:val="24"/>
        </w:rPr>
      </w:pPr>
    </w:p>
    <w:p w14:paraId="5F785F8C" w14:textId="77777777" w:rsidR="00F10B33" w:rsidRDefault="00F10B33" w:rsidP="005118D8">
      <w:pPr>
        <w:jc w:val="center"/>
        <w:rPr>
          <w:rFonts w:ascii="Times New Roman" w:hAnsi="Times New Roman" w:cs="Times New Roman"/>
          <w:sz w:val="24"/>
          <w:szCs w:val="24"/>
        </w:rPr>
      </w:pPr>
    </w:p>
    <w:p w14:paraId="27F677EB" w14:textId="77777777" w:rsidR="00F10B33" w:rsidRDefault="00F10B33" w:rsidP="005118D8">
      <w:pPr>
        <w:jc w:val="center"/>
        <w:rPr>
          <w:rFonts w:ascii="Times New Roman" w:hAnsi="Times New Roman" w:cs="Times New Roman"/>
          <w:sz w:val="24"/>
          <w:szCs w:val="24"/>
        </w:rPr>
      </w:pPr>
    </w:p>
    <w:p w14:paraId="35634817" w14:textId="77777777" w:rsidR="00F10B33" w:rsidRDefault="00F10B33" w:rsidP="005118D8">
      <w:pPr>
        <w:jc w:val="center"/>
        <w:rPr>
          <w:rFonts w:ascii="Times New Roman" w:hAnsi="Times New Roman" w:cs="Times New Roman"/>
          <w:sz w:val="24"/>
          <w:szCs w:val="24"/>
        </w:rPr>
      </w:pPr>
    </w:p>
    <w:p w14:paraId="3CD16C67" w14:textId="77777777" w:rsidR="00F10B33" w:rsidRDefault="00F10B33" w:rsidP="005118D8">
      <w:pPr>
        <w:jc w:val="center"/>
        <w:rPr>
          <w:rFonts w:ascii="Times New Roman" w:hAnsi="Times New Roman" w:cs="Times New Roman"/>
          <w:sz w:val="24"/>
          <w:szCs w:val="24"/>
        </w:rPr>
      </w:pPr>
    </w:p>
    <w:p w14:paraId="49388149" w14:textId="77777777" w:rsidR="00F10B33" w:rsidRDefault="00F10B33" w:rsidP="005118D8">
      <w:pPr>
        <w:jc w:val="center"/>
        <w:rPr>
          <w:rFonts w:ascii="Times New Roman" w:hAnsi="Times New Roman" w:cs="Times New Roman"/>
          <w:sz w:val="24"/>
          <w:szCs w:val="24"/>
        </w:rPr>
      </w:pPr>
    </w:p>
    <w:p w14:paraId="17C4AD81" w14:textId="77777777" w:rsidR="00F10B33" w:rsidRDefault="00F10B33" w:rsidP="001D5447">
      <w:pPr>
        <w:jc w:val="center"/>
        <w:rPr>
          <w:rFonts w:ascii="Times New Roman" w:hAnsi="Times New Roman" w:cs="Times New Roman"/>
          <w:sz w:val="24"/>
          <w:szCs w:val="24"/>
        </w:rPr>
      </w:pPr>
    </w:p>
    <w:p w14:paraId="393AC0A0" w14:textId="622E71E9" w:rsidR="00F10B33" w:rsidRDefault="00F10B33" w:rsidP="001D5447">
      <w:pPr>
        <w:jc w:val="center"/>
        <w:rPr>
          <w:rFonts w:ascii="Times New Roman" w:hAnsi="Times New Roman" w:cs="Times New Roman"/>
          <w:sz w:val="24"/>
          <w:szCs w:val="24"/>
        </w:rPr>
      </w:pPr>
      <w:r>
        <w:rPr>
          <w:rFonts w:ascii="Times New Roman" w:hAnsi="Times New Roman" w:cs="Times New Roman"/>
          <w:sz w:val="24"/>
          <w:szCs w:val="24"/>
        </w:rPr>
        <w:t>Financial Analysis of Electronic Arts Inc. and Activision Blizzard Inc.</w:t>
      </w:r>
    </w:p>
    <w:p w14:paraId="681636FC" w14:textId="06BDB36C" w:rsidR="00F10B33" w:rsidRDefault="00F10B33" w:rsidP="001D5447">
      <w:pPr>
        <w:jc w:val="center"/>
        <w:rPr>
          <w:rFonts w:ascii="Times New Roman" w:hAnsi="Times New Roman" w:cs="Times New Roman"/>
          <w:sz w:val="24"/>
          <w:szCs w:val="24"/>
        </w:rPr>
      </w:pPr>
      <w:r>
        <w:rPr>
          <w:rFonts w:ascii="Times New Roman" w:hAnsi="Times New Roman" w:cs="Times New Roman"/>
          <w:sz w:val="24"/>
          <w:szCs w:val="24"/>
        </w:rPr>
        <w:t>Eniola A. Osineye</w:t>
      </w:r>
    </w:p>
    <w:p w14:paraId="3698FA1F" w14:textId="77F0E029" w:rsidR="00F10B33" w:rsidRDefault="00F10B33" w:rsidP="001D5447">
      <w:pPr>
        <w:jc w:val="center"/>
        <w:rPr>
          <w:rFonts w:ascii="Times New Roman" w:hAnsi="Times New Roman" w:cs="Times New Roman"/>
          <w:sz w:val="24"/>
          <w:szCs w:val="24"/>
        </w:rPr>
      </w:pPr>
      <w:r>
        <w:rPr>
          <w:rFonts w:ascii="Times New Roman" w:hAnsi="Times New Roman" w:cs="Times New Roman"/>
          <w:sz w:val="24"/>
          <w:szCs w:val="24"/>
        </w:rPr>
        <w:t>Walsh University</w:t>
      </w:r>
    </w:p>
    <w:p w14:paraId="1DFC9670" w14:textId="77777777" w:rsidR="00F10B33" w:rsidRDefault="00F10B33" w:rsidP="005118D8">
      <w:pPr>
        <w:jc w:val="center"/>
        <w:rPr>
          <w:rFonts w:ascii="Times New Roman" w:hAnsi="Times New Roman" w:cs="Times New Roman"/>
          <w:sz w:val="24"/>
          <w:szCs w:val="24"/>
        </w:rPr>
      </w:pPr>
    </w:p>
    <w:p w14:paraId="7E241822" w14:textId="77777777" w:rsidR="00F10B33" w:rsidRDefault="00F10B33" w:rsidP="005118D8">
      <w:pPr>
        <w:jc w:val="center"/>
        <w:rPr>
          <w:rFonts w:ascii="Times New Roman" w:hAnsi="Times New Roman" w:cs="Times New Roman"/>
          <w:sz w:val="24"/>
          <w:szCs w:val="24"/>
        </w:rPr>
      </w:pPr>
    </w:p>
    <w:p w14:paraId="49BEBB33" w14:textId="77777777" w:rsidR="00F10B33" w:rsidRDefault="00F10B33" w:rsidP="005118D8">
      <w:pPr>
        <w:jc w:val="center"/>
        <w:rPr>
          <w:rFonts w:ascii="Times New Roman" w:hAnsi="Times New Roman" w:cs="Times New Roman"/>
          <w:sz w:val="24"/>
          <w:szCs w:val="24"/>
        </w:rPr>
      </w:pPr>
    </w:p>
    <w:p w14:paraId="35206E44" w14:textId="77777777" w:rsidR="00F10B33" w:rsidRDefault="00F10B33" w:rsidP="005118D8">
      <w:pPr>
        <w:jc w:val="center"/>
        <w:rPr>
          <w:rFonts w:ascii="Times New Roman" w:hAnsi="Times New Roman" w:cs="Times New Roman"/>
          <w:sz w:val="24"/>
          <w:szCs w:val="24"/>
        </w:rPr>
      </w:pPr>
    </w:p>
    <w:p w14:paraId="3832FF45" w14:textId="77777777" w:rsidR="00F10B33" w:rsidRDefault="00F10B33" w:rsidP="005118D8">
      <w:pPr>
        <w:jc w:val="center"/>
        <w:rPr>
          <w:rFonts w:ascii="Times New Roman" w:hAnsi="Times New Roman" w:cs="Times New Roman"/>
          <w:sz w:val="24"/>
          <w:szCs w:val="24"/>
        </w:rPr>
      </w:pPr>
    </w:p>
    <w:p w14:paraId="1777C85F" w14:textId="77777777" w:rsidR="00F10B33" w:rsidRDefault="00F10B33" w:rsidP="005118D8">
      <w:pPr>
        <w:jc w:val="center"/>
        <w:rPr>
          <w:rFonts w:ascii="Times New Roman" w:hAnsi="Times New Roman" w:cs="Times New Roman"/>
          <w:sz w:val="24"/>
          <w:szCs w:val="24"/>
        </w:rPr>
      </w:pPr>
    </w:p>
    <w:p w14:paraId="694E90DE" w14:textId="77777777" w:rsidR="00F10B33" w:rsidRDefault="00F10B33" w:rsidP="005118D8">
      <w:pPr>
        <w:jc w:val="center"/>
        <w:rPr>
          <w:rFonts w:ascii="Times New Roman" w:hAnsi="Times New Roman" w:cs="Times New Roman"/>
          <w:sz w:val="24"/>
          <w:szCs w:val="24"/>
        </w:rPr>
      </w:pPr>
    </w:p>
    <w:p w14:paraId="061882DF" w14:textId="77777777" w:rsidR="00F10B33" w:rsidRDefault="00F10B33" w:rsidP="005118D8">
      <w:pPr>
        <w:jc w:val="center"/>
        <w:rPr>
          <w:rFonts w:ascii="Times New Roman" w:hAnsi="Times New Roman" w:cs="Times New Roman"/>
          <w:sz w:val="24"/>
          <w:szCs w:val="24"/>
        </w:rPr>
      </w:pPr>
    </w:p>
    <w:p w14:paraId="75615FE7" w14:textId="77777777" w:rsidR="00F10B33" w:rsidRDefault="00F10B33" w:rsidP="005118D8">
      <w:pPr>
        <w:jc w:val="center"/>
        <w:rPr>
          <w:rFonts w:ascii="Times New Roman" w:hAnsi="Times New Roman" w:cs="Times New Roman"/>
          <w:sz w:val="24"/>
          <w:szCs w:val="24"/>
        </w:rPr>
      </w:pPr>
    </w:p>
    <w:p w14:paraId="33A91848" w14:textId="77777777" w:rsidR="00F10B33" w:rsidRDefault="00F10B33" w:rsidP="005118D8">
      <w:pPr>
        <w:jc w:val="center"/>
        <w:rPr>
          <w:rFonts w:ascii="Times New Roman" w:hAnsi="Times New Roman" w:cs="Times New Roman"/>
          <w:sz w:val="24"/>
          <w:szCs w:val="24"/>
        </w:rPr>
      </w:pPr>
    </w:p>
    <w:p w14:paraId="79154344" w14:textId="77777777" w:rsidR="00F10B33" w:rsidRDefault="00F10B33" w:rsidP="005118D8">
      <w:pPr>
        <w:jc w:val="center"/>
        <w:rPr>
          <w:rFonts w:ascii="Times New Roman" w:hAnsi="Times New Roman" w:cs="Times New Roman"/>
          <w:sz w:val="24"/>
          <w:szCs w:val="24"/>
        </w:rPr>
      </w:pPr>
    </w:p>
    <w:p w14:paraId="3FC281FD" w14:textId="77777777" w:rsidR="00F10B33" w:rsidRDefault="00F10B33" w:rsidP="005118D8">
      <w:pPr>
        <w:jc w:val="center"/>
        <w:rPr>
          <w:rFonts w:ascii="Times New Roman" w:hAnsi="Times New Roman" w:cs="Times New Roman"/>
          <w:sz w:val="24"/>
          <w:szCs w:val="24"/>
        </w:rPr>
      </w:pPr>
    </w:p>
    <w:p w14:paraId="486CA805" w14:textId="77777777" w:rsidR="00F10B33" w:rsidRDefault="00F10B33" w:rsidP="005118D8">
      <w:pPr>
        <w:jc w:val="center"/>
        <w:rPr>
          <w:rFonts w:ascii="Times New Roman" w:hAnsi="Times New Roman" w:cs="Times New Roman"/>
          <w:sz w:val="24"/>
          <w:szCs w:val="24"/>
        </w:rPr>
      </w:pPr>
    </w:p>
    <w:p w14:paraId="0B76AB1A" w14:textId="77777777" w:rsidR="00F10B33" w:rsidRDefault="00F10B33" w:rsidP="005118D8">
      <w:pPr>
        <w:jc w:val="center"/>
        <w:rPr>
          <w:rFonts w:ascii="Times New Roman" w:hAnsi="Times New Roman" w:cs="Times New Roman"/>
          <w:sz w:val="24"/>
          <w:szCs w:val="24"/>
        </w:rPr>
      </w:pPr>
    </w:p>
    <w:p w14:paraId="40F4712E" w14:textId="3DA5E078" w:rsidR="00E71ED7" w:rsidRPr="003A0A70" w:rsidRDefault="001D5B01" w:rsidP="005118D8">
      <w:pPr>
        <w:jc w:val="center"/>
        <w:rPr>
          <w:rFonts w:ascii="Times New Roman" w:hAnsi="Times New Roman" w:cs="Times New Roman"/>
          <w:sz w:val="24"/>
          <w:szCs w:val="24"/>
        </w:rPr>
      </w:pPr>
      <w:r w:rsidRPr="003A0A70">
        <w:rPr>
          <w:rFonts w:ascii="Times New Roman" w:hAnsi="Times New Roman" w:cs="Times New Roman"/>
          <w:sz w:val="24"/>
          <w:szCs w:val="24"/>
        </w:rPr>
        <w:t>Table of Contents</w:t>
      </w:r>
    </w:p>
    <w:p w14:paraId="1FA140D3" w14:textId="3F8CCDE5" w:rsidR="00044408" w:rsidRPr="003A0A70" w:rsidRDefault="00F10B33">
      <w:pPr>
        <w:rPr>
          <w:rFonts w:ascii="Times New Roman" w:hAnsi="Times New Roman" w:cs="Times New Roman"/>
          <w:sz w:val="24"/>
          <w:szCs w:val="24"/>
        </w:rPr>
      </w:pPr>
      <w:hyperlink w:anchor="_Abstract" w:history="1">
        <w:r w:rsidR="00044408" w:rsidRPr="004B569D">
          <w:rPr>
            <w:rStyle w:val="Hyperlink"/>
            <w:rFonts w:ascii="Times New Roman" w:hAnsi="Times New Roman" w:cs="Times New Roman"/>
            <w:sz w:val="24"/>
            <w:szCs w:val="24"/>
          </w:rPr>
          <w:t>Abst</w:t>
        </w:r>
        <w:r w:rsidR="00044408" w:rsidRPr="004B569D">
          <w:rPr>
            <w:rStyle w:val="Hyperlink"/>
            <w:rFonts w:ascii="Times New Roman" w:hAnsi="Times New Roman" w:cs="Times New Roman"/>
            <w:sz w:val="24"/>
            <w:szCs w:val="24"/>
          </w:rPr>
          <w:t>r</w:t>
        </w:r>
        <w:r w:rsidR="00044408" w:rsidRPr="004B569D">
          <w:rPr>
            <w:rStyle w:val="Hyperlink"/>
            <w:rFonts w:ascii="Times New Roman" w:hAnsi="Times New Roman" w:cs="Times New Roman"/>
            <w:sz w:val="24"/>
            <w:szCs w:val="24"/>
          </w:rPr>
          <w:t>acts</w:t>
        </w:r>
      </w:hyperlink>
      <w:r w:rsidR="00515718">
        <w:rPr>
          <w:rFonts w:ascii="Times New Roman" w:hAnsi="Times New Roman" w:cs="Times New Roman"/>
          <w:sz w:val="24"/>
          <w:szCs w:val="24"/>
        </w:rPr>
        <w:t xml:space="preserve">                                                                                                           </w:t>
      </w:r>
      <w:r w:rsidR="00250DA5">
        <w:rPr>
          <w:rFonts w:ascii="Times New Roman" w:hAnsi="Times New Roman" w:cs="Times New Roman"/>
          <w:sz w:val="24"/>
          <w:szCs w:val="24"/>
        </w:rPr>
        <w:t xml:space="preserve">                               3</w:t>
      </w:r>
    </w:p>
    <w:p w14:paraId="7CA6D3F0" w14:textId="19ADB583" w:rsidR="001D5B01" w:rsidRPr="003A0A70" w:rsidRDefault="00044408" w:rsidP="00044408">
      <w:pPr>
        <w:rPr>
          <w:rFonts w:ascii="Times New Roman" w:hAnsi="Times New Roman" w:cs="Times New Roman"/>
          <w:sz w:val="24"/>
          <w:szCs w:val="24"/>
        </w:rPr>
      </w:pPr>
      <w:r w:rsidRPr="00250DA5">
        <w:rPr>
          <w:rStyle w:val="Hyperlink"/>
          <w:rFonts w:ascii="Times New Roman" w:hAnsi="Times New Roman" w:cs="Times New Roman"/>
          <w:sz w:val="24"/>
          <w:szCs w:val="24"/>
        </w:rPr>
        <w:t>C</w:t>
      </w:r>
      <w:r w:rsidR="00250DA5">
        <w:rPr>
          <w:rStyle w:val="Hyperlink"/>
          <w:rFonts w:ascii="Times New Roman" w:hAnsi="Times New Roman" w:cs="Times New Roman"/>
          <w:sz w:val="24"/>
          <w:szCs w:val="24"/>
        </w:rPr>
        <w:t>ompany Overview</w:t>
      </w:r>
      <w:r w:rsidR="001D5B01" w:rsidRPr="003A0A70">
        <w:rPr>
          <w:rFonts w:ascii="Times New Roman" w:hAnsi="Times New Roman" w:cs="Times New Roman"/>
          <w:sz w:val="24"/>
          <w:szCs w:val="24"/>
        </w:rPr>
        <w:t xml:space="preserve"> </w:t>
      </w:r>
      <w:r w:rsidR="001D5B01" w:rsidRPr="003A0A70">
        <w:rPr>
          <w:rFonts w:ascii="Times New Roman" w:hAnsi="Times New Roman" w:cs="Times New Roman"/>
          <w:sz w:val="24"/>
          <w:szCs w:val="24"/>
        </w:rPr>
        <w:tab/>
      </w:r>
      <w:r w:rsidR="00515718">
        <w:rPr>
          <w:rFonts w:ascii="Times New Roman" w:hAnsi="Times New Roman" w:cs="Times New Roman"/>
          <w:sz w:val="24"/>
          <w:szCs w:val="24"/>
        </w:rPr>
        <w:t xml:space="preserve">          </w:t>
      </w:r>
      <w:r w:rsidR="001D5B01" w:rsidRPr="003A0A70">
        <w:rPr>
          <w:rFonts w:ascii="Times New Roman" w:hAnsi="Times New Roman" w:cs="Times New Roman"/>
          <w:sz w:val="24"/>
          <w:szCs w:val="24"/>
        </w:rPr>
        <w:tab/>
      </w:r>
      <w:r w:rsidR="001D5B01" w:rsidRPr="003A0A70">
        <w:rPr>
          <w:rFonts w:ascii="Times New Roman" w:hAnsi="Times New Roman" w:cs="Times New Roman"/>
          <w:sz w:val="24"/>
          <w:szCs w:val="24"/>
        </w:rPr>
        <w:tab/>
      </w:r>
      <w:r w:rsidR="001D5B01" w:rsidRPr="003A0A70">
        <w:rPr>
          <w:rFonts w:ascii="Times New Roman" w:hAnsi="Times New Roman" w:cs="Times New Roman"/>
          <w:sz w:val="24"/>
          <w:szCs w:val="24"/>
        </w:rPr>
        <w:tab/>
      </w:r>
      <w:r w:rsidR="001D5B01" w:rsidRPr="003A0A70">
        <w:rPr>
          <w:rFonts w:ascii="Times New Roman" w:hAnsi="Times New Roman" w:cs="Times New Roman"/>
          <w:sz w:val="24"/>
          <w:szCs w:val="24"/>
        </w:rPr>
        <w:tab/>
      </w:r>
      <w:r w:rsidR="001D5B01" w:rsidRPr="003A0A70">
        <w:rPr>
          <w:rFonts w:ascii="Times New Roman" w:hAnsi="Times New Roman" w:cs="Times New Roman"/>
          <w:sz w:val="24"/>
          <w:szCs w:val="24"/>
        </w:rPr>
        <w:tab/>
      </w:r>
      <w:r w:rsidR="001D5B01" w:rsidRPr="003A0A70">
        <w:rPr>
          <w:rFonts w:ascii="Times New Roman" w:hAnsi="Times New Roman" w:cs="Times New Roman"/>
          <w:sz w:val="24"/>
          <w:szCs w:val="24"/>
        </w:rPr>
        <w:tab/>
        <w:t xml:space="preserve">           </w:t>
      </w:r>
      <w:r w:rsidR="00515718">
        <w:rPr>
          <w:rFonts w:ascii="Times New Roman" w:hAnsi="Times New Roman" w:cs="Times New Roman"/>
          <w:sz w:val="24"/>
          <w:szCs w:val="24"/>
        </w:rPr>
        <w:t xml:space="preserve">          </w:t>
      </w:r>
      <w:r w:rsidR="00250DA5">
        <w:rPr>
          <w:rFonts w:ascii="Times New Roman" w:hAnsi="Times New Roman" w:cs="Times New Roman"/>
          <w:sz w:val="24"/>
          <w:szCs w:val="24"/>
        </w:rPr>
        <w:t xml:space="preserve">                        4</w:t>
      </w:r>
      <w:r w:rsidR="001D5B01" w:rsidRPr="003A0A70">
        <w:rPr>
          <w:rFonts w:ascii="Times New Roman" w:hAnsi="Times New Roman" w:cs="Times New Roman"/>
          <w:sz w:val="24"/>
          <w:szCs w:val="24"/>
        </w:rPr>
        <w:t xml:space="preserve"> </w:t>
      </w:r>
    </w:p>
    <w:p w14:paraId="271DA369" w14:textId="4E62F529" w:rsidR="001D5B01" w:rsidRPr="003A0A70" w:rsidRDefault="001D5B01" w:rsidP="004B569D">
      <w:pPr>
        <w:ind w:firstLine="720"/>
        <w:rPr>
          <w:rFonts w:ascii="Times New Roman" w:hAnsi="Times New Roman" w:cs="Times New Roman"/>
          <w:sz w:val="24"/>
          <w:szCs w:val="24"/>
        </w:rPr>
      </w:pPr>
      <w:r w:rsidRPr="003A0A70">
        <w:rPr>
          <w:rFonts w:ascii="Times New Roman" w:hAnsi="Times New Roman" w:cs="Times New Roman"/>
          <w:sz w:val="24"/>
          <w:szCs w:val="24"/>
        </w:rPr>
        <w:t xml:space="preserve">Electronic Arts Inc.                                                                                                                           </w:t>
      </w:r>
    </w:p>
    <w:p w14:paraId="3712CB7C" w14:textId="4564062D" w:rsidR="001D5B01" w:rsidRPr="003A0A70" w:rsidRDefault="001D5B01" w:rsidP="004B569D">
      <w:pPr>
        <w:ind w:firstLine="720"/>
        <w:rPr>
          <w:rFonts w:ascii="Times New Roman" w:hAnsi="Times New Roman" w:cs="Times New Roman"/>
          <w:sz w:val="24"/>
          <w:szCs w:val="24"/>
        </w:rPr>
      </w:pPr>
      <w:r w:rsidRPr="003A0A70">
        <w:rPr>
          <w:rFonts w:ascii="Times New Roman" w:hAnsi="Times New Roman" w:cs="Times New Roman"/>
          <w:sz w:val="24"/>
          <w:szCs w:val="24"/>
        </w:rPr>
        <w:t xml:space="preserve">Activision Blizzard Inc.                                                                                                                                   </w:t>
      </w:r>
    </w:p>
    <w:p w14:paraId="671533CE" w14:textId="39C02A30" w:rsidR="001D5B01" w:rsidRPr="003A0A70" w:rsidRDefault="00F10B33">
      <w:pPr>
        <w:rPr>
          <w:rFonts w:ascii="Times New Roman" w:hAnsi="Times New Roman" w:cs="Times New Roman"/>
          <w:sz w:val="24"/>
          <w:szCs w:val="24"/>
        </w:rPr>
      </w:pPr>
      <w:hyperlink w:anchor="_Industry_Overview" w:history="1">
        <w:r w:rsidR="001D5B01" w:rsidRPr="004B569D">
          <w:rPr>
            <w:rStyle w:val="Hyperlink"/>
            <w:rFonts w:ascii="Times New Roman" w:hAnsi="Times New Roman" w:cs="Times New Roman"/>
            <w:sz w:val="24"/>
            <w:szCs w:val="24"/>
          </w:rPr>
          <w:t>Industry Ov</w:t>
        </w:r>
        <w:r w:rsidR="001D5B01" w:rsidRPr="004B569D">
          <w:rPr>
            <w:rStyle w:val="Hyperlink"/>
            <w:rFonts w:ascii="Times New Roman" w:hAnsi="Times New Roman" w:cs="Times New Roman"/>
            <w:sz w:val="24"/>
            <w:szCs w:val="24"/>
          </w:rPr>
          <w:t>e</w:t>
        </w:r>
        <w:r w:rsidR="001D5B01" w:rsidRPr="004B569D">
          <w:rPr>
            <w:rStyle w:val="Hyperlink"/>
            <w:rFonts w:ascii="Times New Roman" w:hAnsi="Times New Roman" w:cs="Times New Roman"/>
            <w:sz w:val="24"/>
            <w:szCs w:val="24"/>
          </w:rPr>
          <w:t>rview</w:t>
        </w:r>
      </w:hyperlink>
      <w:r w:rsidR="001D5B01" w:rsidRPr="003A0A70">
        <w:rPr>
          <w:rFonts w:ascii="Times New Roman" w:hAnsi="Times New Roman" w:cs="Times New Roman"/>
          <w:sz w:val="24"/>
          <w:szCs w:val="24"/>
        </w:rPr>
        <w:t xml:space="preserve"> </w:t>
      </w:r>
      <w:r w:rsidR="004B569D">
        <w:rPr>
          <w:rFonts w:ascii="Times New Roman" w:hAnsi="Times New Roman" w:cs="Times New Roman"/>
          <w:sz w:val="24"/>
          <w:szCs w:val="24"/>
        </w:rPr>
        <w:t xml:space="preserve">                                                                                           </w:t>
      </w:r>
      <w:r w:rsidR="00250DA5">
        <w:rPr>
          <w:rFonts w:ascii="Times New Roman" w:hAnsi="Times New Roman" w:cs="Times New Roman"/>
          <w:sz w:val="24"/>
          <w:szCs w:val="24"/>
        </w:rPr>
        <w:t xml:space="preserve">                               5</w:t>
      </w:r>
      <w:r w:rsidR="001D5B01" w:rsidRPr="003A0A70">
        <w:rPr>
          <w:rFonts w:ascii="Times New Roman" w:hAnsi="Times New Roman" w:cs="Times New Roman"/>
          <w:sz w:val="24"/>
          <w:szCs w:val="24"/>
        </w:rPr>
        <w:t xml:space="preserve">                                                                                                                                                       </w:t>
      </w:r>
    </w:p>
    <w:p w14:paraId="1B6DD878" w14:textId="76633FCB" w:rsidR="0047120B" w:rsidRPr="003A0A70" w:rsidRDefault="00F10B33" w:rsidP="004B569D">
      <w:pPr>
        <w:rPr>
          <w:rFonts w:ascii="Times New Roman" w:hAnsi="Times New Roman" w:cs="Times New Roman"/>
          <w:sz w:val="24"/>
          <w:szCs w:val="24"/>
        </w:rPr>
      </w:pPr>
      <w:hyperlink w:anchor="_Financial_Ratios" w:history="1">
        <w:r w:rsidR="0047120B" w:rsidRPr="004B569D">
          <w:rPr>
            <w:rStyle w:val="Hyperlink"/>
            <w:rFonts w:ascii="Times New Roman" w:hAnsi="Times New Roman" w:cs="Times New Roman"/>
            <w:sz w:val="24"/>
            <w:szCs w:val="24"/>
          </w:rPr>
          <w:t xml:space="preserve">Financial </w:t>
        </w:r>
        <w:r w:rsidR="0047120B" w:rsidRPr="004B569D">
          <w:rPr>
            <w:rStyle w:val="Hyperlink"/>
            <w:rFonts w:ascii="Times New Roman" w:hAnsi="Times New Roman" w:cs="Times New Roman"/>
            <w:sz w:val="24"/>
            <w:szCs w:val="24"/>
          </w:rPr>
          <w:t>R</w:t>
        </w:r>
        <w:r w:rsidR="0047120B" w:rsidRPr="004B569D">
          <w:rPr>
            <w:rStyle w:val="Hyperlink"/>
            <w:rFonts w:ascii="Times New Roman" w:hAnsi="Times New Roman" w:cs="Times New Roman"/>
            <w:sz w:val="24"/>
            <w:szCs w:val="24"/>
          </w:rPr>
          <w:t>atios and Analysis</w:t>
        </w:r>
      </w:hyperlink>
      <w:r w:rsidR="0047120B" w:rsidRPr="003A0A70">
        <w:rPr>
          <w:rFonts w:ascii="Times New Roman" w:hAnsi="Times New Roman" w:cs="Times New Roman"/>
          <w:sz w:val="24"/>
          <w:szCs w:val="24"/>
        </w:rPr>
        <w:tab/>
      </w:r>
      <w:r w:rsidR="004B569D">
        <w:rPr>
          <w:rFonts w:ascii="Times New Roman" w:hAnsi="Times New Roman" w:cs="Times New Roman"/>
          <w:sz w:val="24"/>
          <w:szCs w:val="24"/>
        </w:rPr>
        <w:t xml:space="preserve">                                                                          </w:t>
      </w:r>
      <w:r w:rsidR="00250DA5">
        <w:rPr>
          <w:rFonts w:ascii="Times New Roman" w:hAnsi="Times New Roman" w:cs="Times New Roman"/>
          <w:sz w:val="24"/>
          <w:szCs w:val="24"/>
        </w:rPr>
        <w:t xml:space="preserve">                               7</w:t>
      </w:r>
      <w:r w:rsidR="004B569D">
        <w:rPr>
          <w:rFonts w:ascii="Times New Roman" w:hAnsi="Times New Roman" w:cs="Times New Roman"/>
          <w:sz w:val="24"/>
          <w:szCs w:val="24"/>
        </w:rPr>
        <w:t xml:space="preserve">                                                                                                       </w:t>
      </w:r>
      <w:r w:rsidR="004B569D">
        <w:rPr>
          <w:rFonts w:ascii="Times New Roman" w:hAnsi="Times New Roman" w:cs="Times New Roman"/>
          <w:sz w:val="24"/>
          <w:szCs w:val="24"/>
        </w:rPr>
        <w:br/>
        <w:t xml:space="preserve">            </w:t>
      </w:r>
      <w:r w:rsidR="0047120B" w:rsidRPr="003A0A70">
        <w:rPr>
          <w:rFonts w:ascii="Times New Roman" w:hAnsi="Times New Roman" w:cs="Times New Roman"/>
          <w:sz w:val="24"/>
          <w:szCs w:val="24"/>
        </w:rPr>
        <w:t>Liquidity Ratios</w:t>
      </w:r>
      <w:r w:rsidR="0047120B" w:rsidRPr="003A0A70">
        <w:rPr>
          <w:rFonts w:ascii="Times New Roman" w:hAnsi="Times New Roman" w:cs="Times New Roman"/>
          <w:sz w:val="24"/>
          <w:szCs w:val="24"/>
        </w:rPr>
        <w:tab/>
      </w:r>
      <w:r w:rsidR="0047120B" w:rsidRPr="003A0A70">
        <w:rPr>
          <w:rFonts w:ascii="Times New Roman" w:hAnsi="Times New Roman" w:cs="Times New Roman"/>
          <w:sz w:val="24"/>
          <w:szCs w:val="24"/>
        </w:rPr>
        <w:tab/>
      </w:r>
      <w:r w:rsidR="0047120B" w:rsidRPr="003A0A70">
        <w:rPr>
          <w:rFonts w:ascii="Times New Roman" w:hAnsi="Times New Roman" w:cs="Times New Roman"/>
          <w:sz w:val="24"/>
          <w:szCs w:val="24"/>
        </w:rPr>
        <w:tab/>
      </w:r>
      <w:r w:rsidR="0047120B" w:rsidRPr="003A0A70">
        <w:rPr>
          <w:rFonts w:ascii="Times New Roman" w:hAnsi="Times New Roman" w:cs="Times New Roman"/>
          <w:sz w:val="24"/>
          <w:szCs w:val="24"/>
        </w:rPr>
        <w:tab/>
      </w:r>
      <w:r w:rsidR="0047120B" w:rsidRPr="003A0A70">
        <w:rPr>
          <w:rFonts w:ascii="Times New Roman" w:hAnsi="Times New Roman" w:cs="Times New Roman"/>
          <w:sz w:val="24"/>
          <w:szCs w:val="24"/>
        </w:rPr>
        <w:tab/>
      </w:r>
      <w:r w:rsidR="0047120B" w:rsidRPr="003A0A70">
        <w:rPr>
          <w:rFonts w:ascii="Times New Roman" w:hAnsi="Times New Roman" w:cs="Times New Roman"/>
          <w:sz w:val="24"/>
          <w:szCs w:val="24"/>
        </w:rPr>
        <w:tab/>
      </w:r>
      <w:r w:rsidR="0047120B" w:rsidRPr="003A0A70">
        <w:rPr>
          <w:rFonts w:ascii="Times New Roman" w:hAnsi="Times New Roman" w:cs="Times New Roman"/>
          <w:sz w:val="24"/>
          <w:szCs w:val="24"/>
        </w:rPr>
        <w:tab/>
      </w:r>
      <w:r w:rsidR="0047120B" w:rsidRPr="003A0A70">
        <w:rPr>
          <w:rFonts w:ascii="Times New Roman" w:hAnsi="Times New Roman" w:cs="Times New Roman"/>
          <w:sz w:val="24"/>
          <w:szCs w:val="24"/>
        </w:rPr>
        <w:tab/>
      </w:r>
      <w:r w:rsidR="0047120B" w:rsidRPr="003A0A70">
        <w:rPr>
          <w:rFonts w:ascii="Times New Roman" w:hAnsi="Times New Roman" w:cs="Times New Roman"/>
          <w:sz w:val="24"/>
          <w:szCs w:val="24"/>
        </w:rPr>
        <w:tab/>
      </w:r>
      <w:r w:rsidR="0047120B" w:rsidRPr="003A0A70">
        <w:rPr>
          <w:rFonts w:ascii="Times New Roman" w:hAnsi="Times New Roman" w:cs="Times New Roman"/>
          <w:sz w:val="24"/>
          <w:szCs w:val="24"/>
        </w:rPr>
        <w:tab/>
        <w:t xml:space="preserve">           </w:t>
      </w:r>
    </w:p>
    <w:p w14:paraId="6016390D" w14:textId="326514EB" w:rsidR="0047120B" w:rsidRPr="003A0A70" w:rsidRDefault="0047120B" w:rsidP="0047120B">
      <w:pPr>
        <w:ind w:firstLine="720"/>
        <w:rPr>
          <w:rFonts w:ascii="Times New Roman" w:hAnsi="Times New Roman" w:cs="Times New Roman"/>
          <w:sz w:val="24"/>
          <w:szCs w:val="24"/>
        </w:rPr>
      </w:pPr>
      <w:r w:rsidRPr="003A0A70">
        <w:rPr>
          <w:rFonts w:ascii="Times New Roman" w:hAnsi="Times New Roman" w:cs="Times New Roman"/>
          <w:sz w:val="24"/>
          <w:szCs w:val="24"/>
        </w:rPr>
        <w:t>Profitability Ratios</w:t>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t xml:space="preserve">           </w:t>
      </w:r>
    </w:p>
    <w:p w14:paraId="4F97902C" w14:textId="6AE04001" w:rsidR="0047120B" w:rsidRPr="003A0A70" w:rsidRDefault="0047120B" w:rsidP="0047120B">
      <w:pPr>
        <w:ind w:firstLine="720"/>
        <w:rPr>
          <w:rFonts w:ascii="Times New Roman" w:hAnsi="Times New Roman" w:cs="Times New Roman"/>
          <w:sz w:val="24"/>
          <w:szCs w:val="24"/>
        </w:rPr>
      </w:pPr>
      <w:r w:rsidRPr="003A0A70">
        <w:rPr>
          <w:rFonts w:ascii="Times New Roman" w:hAnsi="Times New Roman" w:cs="Times New Roman"/>
          <w:sz w:val="24"/>
          <w:szCs w:val="24"/>
        </w:rPr>
        <w:t xml:space="preserve">Efficiency Ratios                                                                                                                                             </w:t>
      </w:r>
    </w:p>
    <w:p w14:paraId="0482C9C5" w14:textId="0FFAEE40" w:rsidR="0047120B" w:rsidRPr="003A0A70" w:rsidRDefault="0047120B" w:rsidP="0047120B">
      <w:pPr>
        <w:ind w:firstLine="720"/>
        <w:rPr>
          <w:rFonts w:ascii="Times New Roman" w:hAnsi="Times New Roman" w:cs="Times New Roman"/>
          <w:sz w:val="24"/>
          <w:szCs w:val="24"/>
        </w:rPr>
      </w:pPr>
      <w:r w:rsidRPr="003A0A70">
        <w:rPr>
          <w:rFonts w:ascii="Times New Roman" w:hAnsi="Times New Roman" w:cs="Times New Roman"/>
          <w:sz w:val="24"/>
          <w:szCs w:val="24"/>
        </w:rPr>
        <w:t xml:space="preserve">Debt Ratios </w:t>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t xml:space="preserve">         </w:t>
      </w:r>
    </w:p>
    <w:p w14:paraId="28833F9E" w14:textId="4D494C24" w:rsidR="0047120B" w:rsidRPr="003A0A70" w:rsidRDefault="0047120B" w:rsidP="0047120B">
      <w:pPr>
        <w:ind w:firstLine="720"/>
        <w:rPr>
          <w:rFonts w:ascii="Times New Roman" w:hAnsi="Times New Roman" w:cs="Times New Roman"/>
          <w:sz w:val="24"/>
          <w:szCs w:val="24"/>
        </w:rPr>
      </w:pPr>
      <w:r w:rsidRPr="003A0A70">
        <w:rPr>
          <w:rFonts w:ascii="Times New Roman" w:hAnsi="Times New Roman" w:cs="Times New Roman"/>
          <w:sz w:val="24"/>
          <w:szCs w:val="24"/>
        </w:rPr>
        <w:t>Market Ratios</w:t>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r>
      <w:r w:rsidRPr="003A0A70">
        <w:rPr>
          <w:rFonts w:ascii="Times New Roman" w:hAnsi="Times New Roman" w:cs="Times New Roman"/>
          <w:sz w:val="24"/>
          <w:szCs w:val="24"/>
        </w:rPr>
        <w:tab/>
        <w:t xml:space="preserve">         </w:t>
      </w:r>
    </w:p>
    <w:p w14:paraId="5772C2C0" w14:textId="22BC3AE5" w:rsidR="00044408" w:rsidRPr="003A0A70" w:rsidRDefault="00F10B33" w:rsidP="00044408">
      <w:pPr>
        <w:rPr>
          <w:rFonts w:ascii="Times New Roman" w:hAnsi="Times New Roman" w:cs="Times New Roman"/>
          <w:sz w:val="24"/>
          <w:szCs w:val="24"/>
        </w:rPr>
      </w:pPr>
      <w:hyperlink w:anchor="_Common_Size_and" w:history="1">
        <w:r w:rsidR="00044408" w:rsidRPr="004B569D">
          <w:rPr>
            <w:rStyle w:val="Hyperlink"/>
            <w:rFonts w:ascii="Times New Roman" w:hAnsi="Times New Roman" w:cs="Times New Roman"/>
            <w:sz w:val="24"/>
            <w:szCs w:val="24"/>
          </w:rPr>
          <w:t>Common Size and Cash Flo</w:t>
        </w:r>
        <w:r w:rsidR="00044408" w:rsidRPr="004B569D">
          <w:rPr>
            <w:rStyle w:val="Hyperlink"/>
            <w:rFonts w:ascii="Times New Roman" w:hAnsi="Times New Roman" w:cs="Times New Roman"/>
            <w:sz w:val="24"/>
            <w:szCs w:val="24"/>
          </w:rPr>
          <w:t>w</w:t>
        </w:r>
        <w:r w:rsidR="00044408" w:rsidRPr="004B569D">
          <w:rPr>
            <w:rStyle w:val="Hyperlink"/>
            <w:rFonts w:ascii="Times New Roman" w:hAnsi="Times New Roman" w:cs="Times New Roman"/>
            <w:sz w:val="24"/>
            <w:szCs w:val="24"/>
          </w:rPr>
          <w:t xml:space="preserve"> Analy</w:t>
        </w:r>
        <w:r w:rsidR="00044408" w:rsidRPr="004B569D">
          <w:rPr>
            <w:rStyle w:val="Hyperlink"/>
            <w:rFonts w:ascii="Times New Roman" w:hAnsi="Times New Roman" w:cs="Times New Roman"/>
            <w:sz w:val="24"/>
            <w:szCs w:val="24"/>
          </w:rPr>
          <w:t>s</w:t>
        </w:r>
        <w:r w:rsidR="00044408" w:rsidRPr="004B569D">
          <w:rPr>
            <w:rStyle w:val="Hyperlink"/>
            <w:rFonts w:ascii="Times New Roman" w:hAnsi="Times New Roman" w:cs="Times New Roman"/>
            <w:sz w:val="24"/>
            <w:szCs w:val="24"/>
          </w:rPr>
          <w:t>is</w:t>
        </w:r>
      </w:hyperlink>
      <w:r w:rsidR="004B569D">
        <w:rPr>
          <w:rFonts w:ascii="Times New Roman" w:hAnsi="Times New Roman" w:cs="Times New Roman"/>
          <w:sz w:val="24"/>
          <w:szCs w:val="24"/>
        </w:rPr>
        <w:t xml:space="preserve">                                                             </w:t>
      </w:r>
      <w:r w:rsidR="00250DA5">
        <w:rPr>
          <w:rFonts w:ascii="Times New Roman" w:hAnsi="Times New Roman" w:cs="Times New Roman"/>
          <w:sz w:val="24"/>
          <w:szCs w:val="24"/>
        </w:rPr>
        <w:t xml:space="preserve">                            16</w:t>
      </w:r>
    </w:p>
    <w:p w14:paraId="027CE5BE" w14:textId="75415162" w:rsidR="006C379F" w:rsidRDefault="00F10B33" w:rsidP="00086DF3">
      <w:pPr>
        <w:rPr>
          <w:rFonts w:ascii="Times New Roman" w:hAnsi="Times New Roman" w:cs="Times New Roman"/>
          <w:sz w:val="24"/>
          <w:szCs w:val="24"/>
        </w:rPr>
      </w:pPr>
      <w:hyperlink w:anchor="_Summary_and_Conclusion" w:history="1">
        <w:r w:rsidR="00044408" w:rsidRPr="004B569D">
          <w:rPr>
            <w:rStyle w:val="Hyperlink"/>
            <w:rFonts w:ascii="Times New Roman" w:hAnsi="Times New Roman" w:cs="Times New Roman"/>
            <w:sz w:val="24"/>
            <w:szCs w:val="24"/>
          </w:rPr>
          <w:t>Summary and Conc</w:t>
        </w:r>
        <w:r w:rsidR="00044408" w:rsidRPr="004B569D">
          <w:rPr>
            <w:rStyle w:val="Hyperlink"/>
            <w:rFonts w:ascii="Times New Roman" w:hAnsi="Times New Roman" w:cs="Times New Roman"/>
            <w:sz w:val="24"/>
            <w:szCs w:val="24"/>
          </w:rPr>
          <w:t>l</w:t>
        </w:r>
        <w:r w:rsidR="00044408" w:rsidRPr="004B569D">
          <w:rPr>
            <w:rStyle w:val="Hyperlink"/>
            <w:rFonts w:ascii="Times New Roman" w:hAnsi="Times New Roman" w:cs="Times New Roman"/>
            <w:sz w:val="24"/>
            <w:szCs w:val="24"/>
          </w:rPr>
          <w:t>u</w:t>
        </w:r>
        <w:r w:rsidR="00044408" w:rsidRPr="004B569D">
          <w:rPr>
            <w:rStyle w:val="Hyperlink"/>
            <w:rFonts w:ascii="Times New Roman" w:hAnsi="Times New Roman" w:cs="Times New Roman"/>
            <w:sz w:val="24"/>
            <w:szCs w:val="24"/>
          </w:rPr>
          <w:t>sion</w:t>
        </w:r>
      </w:hyperlink>
      <w:r w:rsidR="004B569D">
        <w:rPr>
          <w:rFonts w:ascii="Times New Roman" w:hAnsi="Times New Roman" w:cs="Times New Roman"/>
          <w:sz w:val="24"/>
          <w:szCs w:val="24"/>
        </w:rPr>
        <w:t xml:space="preserve">                                                                                </w:t>
      </w:r>
      <w:r w:rsidR="001D5447">
        <w:rPr>
          <w:rFonts w:ascii="Times New Roman" w:hAnsi="Times New Roman" w:cs="Times New Roman"/>
          <w:sz w:val="24"/>
          <w:szCs w:val="24"/>
        </w:rPr>
        <w:t xml:space="preserve">                              19</w:t>
      </w:r>
    </w:p>
    <w:p w14:paraId="72860551" w14:textId="57E3A799" w:rsidR="004B569D" w:rsidRPr="003A0A70" w:rsidRDefault="00F10B33" w:rsidP="00086DF3">
      <w:pPr>
        <w:rPr>
          <w:rFonts w:ascii="Times New Roman" w:hAnsi="Times New Roman" w:cs="Times New Roman"/>
          <w:sz w:val="24"/>
          <w:szCs w:val="24"/>
        </w:rPr>
      </w:pPr>
      <w:hyperlink w:anchor="_References" w:history="1">
        <w:r w:rsidR="004B569D" w:rsidRPr="004B569D">
          <w:rPr>
            <w:rStyle w:val="Hyperlink"/>
            <w:rFonts w:ascii="Times New Roman" w:hAnsi="Times New Roman" w:cs="Times New Roman"/>
            <w:sz w:val="24"/>
            <w:szCs w:val="24"/>
          </w:rPr>
          <w:t>Ref</w:t>
        </w:r>
        <w:r w:rsidR="004B569D" w:rsidRPr="004B569D">
          <w:rPr>
            <w:rStyle w:val="Hyperlink"/>
            <w:rFonts w:ascii="Times New Roman" w:hAnsi="Times New Roman" w:cs="Times New Roman"/>
            <w:sz w:val="24"/>
            <w:szCs w:val="24"/>
          </w:rPr>
          <w:t>e</w:t>
        </w:r>
        <w:r w:rsidR="004B569D" w:rsidRPr="004B569D">
          <w:rPr>
            <w:rStyle w:val="Hyperlink"/>
            <w:rFonts w:ascii="Times New Roman" w:hAnsi="Times New Roman" w:cs="Times New Roman"/>
            <w:sz w:val="24"/>
            <w:szCs w:val="24"/>
          </w:rPr>
          <w:t>r</w:t>
        </w:r>
        <w:r w:rsidR="004B569D" w:rsidRPr="004B569D">
          <w:rPr>
            <w:rStyle w:val="Hyperlink"/>
            <w:rFonts w:ascii="Times New Roman" w:hAnsi="Times New Roman" w:cs="Times New Roman"/>
            <w:sz w:val="24"/>
            <w:szCs w:val="24"/>
          </w:rPr>
          <w:t>e</w:t>
        </w:r>
        <w:r w:rsidR="004B569D" w:rsidRPr="004B569D">
          <w:rPr>
            <w:rStyle w:val="Hyperlink"/>
            <w:rFonts w:ascii="Times New Roman" w:hAnsi="Times New Roman" w:cs="Times New Roman"/>
            <w:sz w:val="24"/>
            <w:szCs w:val="24"/>
          </w:rPr>
          <w:t>nces</w:t>
        </w:r>
      </w:hyperlink>
      <w:r w:rsidR="004B569D">
        <w:rPr>
          <w:rFonts w:ascii="Times New Roman" w:hAnsi="Times New Roman" w:cs="Times New Roman"/>
          <w:sz w:val="24"/>
          <w:szCs w:val="24"/>
        </w:rPr>
        <w:t xml:space="preserve">                                                                                                        </w:t>
      </w:r>
      <w:r w:rsidR="001D5447">
        <w:rPr>
          <w:rFonts w:ascii="Times New Roman" w:hAnsi="Times New Roman" w:cs="Times New Roman"/>
          <w:sz w:val="24"/>
          <w:szCs w:val="24"/>
        </w:rPr>
        <w:t xml:space="preserve">                              20</w:t>
      </w:r>
    </w:p>
    <w:p w14:paraId="32A5AE57" w14:textId="04D20D82" w:rsidR="004B569D" w:rsidRPr="004B569D" w:rsidRDefault="00F10B33" w:rsidP="004B569D">
      <w:pPr>
        <w:rPr>
          <w:rFonts w:ascii="Times New Roman" w:hAnsi="Times New Roman" w:cs="Times New Roman"/>
          <w:sz w:val="24"/>
          <w:szCs w:val="24"/>
        </w:rPr>
      </w:pPr>
      <w:hyperlink w:anchor="_Appendix" w:history="1">
        <w:r w:rsidR="004B569D" w:rsidRPr="004B569D">
          <w:rPr>
            <w:rStyle w:val="Hyperlink"/>
            <w:rFonts w:ascii="Times New Roman" w:hAnsi="Times New Roman" w:cs="Times New Roman"/>
            <w:sz w:val="24"/>
            <w:szCs w:val="24"/>
          </w:rPr>
          <w:t>Appe</w:t>
        </w:r>
        <w:r w:rsidR="004B569D" w:rsidRPr="004B569D">
          <w:rPr>
            <w:rStyle w:val="Hyperlink"/>
            <w:rFonts w:ascii="Times New Roman" w:hAnsi="Times New Roman" w:cs="Times New Roman"/>
            <w:sz w:val="24"/>
            <w:szCs w:val="24"/>
          </w:rPr>
          <w:t>n</w:t>
        </w:r>
        <w:r w:rsidR="004B569D" w:rsidRPr="004B569D">
          <w:rPr>
            <w:rStyle w:val="Hyperlink"/>
            <w:rFonts w:ascii="Times New Roman" w:hAnsi="Times New Roman" w:cs="Times New Roman"/>
            <w:sz w:val="24"/>
            <w:szCs w:val="24"/>
          </w:rPr>
          <w:t>dix</w:t>
        </w:r>
      </w:hyperlink>
      <w:r w:rsidR="004B569D" w:rsidRPr="004B569D">
        <w:rPr>
          <w:rFonts w:ascii="Times New Roman" w:hAnsi="Times New Roman" w:cs="Times New Roman"/>
          <w:sz w:val="24"/>
          <w:szCs w:val="24"/>
        </w:rPr>
        <w:t xml:space="preserve">                                                                                                                   </w:t>
      </w:r>
      <w:r w:rsidR="001D5447">
        <w:rPr>
          <w:rFonts w:ascii="Times New Roman" w:hAnsi="Times New Roman" w:cs="Times New Roman"/>
          <w:sz w:val="24"/>
          <w:szCs w:val="24"/>
        </w:rPr>
        <w:t xml:space="preserve">                     22</w:t>
      </w:r>
    </w:p>
    <w:p w14:paraId="16AA1238" w14:textId="77777777" w:rsidR="00086DF3" w:rsidRPr="003A0A70" w:rsidRDefault="00086DF3" w:rsidP="00086DF3">
      <w:pPr>
        <w:pStyle w:val="ListParagraph"/>
        <w:numPr>
          <w:ilvl w:val="0"/>
          <w:numId w:val="2"/>
        </w:numPr>
        <w:rPr>
          <w:rFonts w:ascii="Times New Roman" w:hAnsi="Times New Roman" w:cs="Times New Roman"/>
          <w:sz w:val="24"/>
          <w:szCs w:val="24"/>
        </w:rPr>
      </w:pPr>
      <w:r w:rsidRPr="003A0A70">
        <w:rPr>
          <w:rFonts w:ascii="Times New Roman" w:hAnsi="Times New Roman" w:cs="Times New Roman"/>
          <w:sz w:val="24"/>
          <w:szCs w:val="24"/>
        </w:rPr>
        <w:t>Balance Sheet</w:t>
      </w:r>
    </w:p>
    <w:p w14:paraId="15899E13" w14:textId="77777777" w:rsidR="00086DF3" w:rsidRPr="003A0A70" w:rsidRDefault="00086DF3" w:rsidP="00086DF3">
      <w:pPr>
        <w:pStyle w:val="ListParagraph"/>
        <w:numPr>
          <w:ilvl w:val="0"/>
          <w:numId w:val="2"/>
        </w:numPr>
        <w:rPr>
          <w:rFonts w:ascii="Times New Roman" w:hAnsi="Times New Roman" w:cs="Times New Roman"/>
          <w:sz w:val="24"/>
          <w:szCs w:val="24"/>
        </w:rPr>
      </w:pPr>
      <w:r w:rsidRPr="003A0A70">
        <w:rPr>
          <w:rFonts w:ascii="Times New Roman" w:hAnsi="Times New Roman" w:cs="Times New Roman"/>
          <w:sz w:val="24"/>
          <w:szCs w:val="24"/>
        </w:rPr>
        <w:t>Income Statement</w:t>
      </w:r>
    </w:p>
    <w:p w14:paraId="5B820D6D" w14:textId="77777777" w:rsidR="00086DF3" w:rsidRPr="003A0A70" w:rsidRDefault="00086DF3" w:rsidP="00086DF3">
      <w:pPr>
        <w:pStyle w:val="ListParagraph"/>
        <w:numPr>
          <w:ilvl w:val="0"/>
          <w:numId w:val="2"/>
        </w:numPr>
        <w:rPr>
          <w:rFonts w:ascii="Times New Roman" w:hAnsi="Times New Roman" w:cs="Times New Roman"/>
          <w:sz w:val="24"/>
          <w:szCs w:val="24"/>
        </w:rPr>
      </w:pPr>
      <w:r w:rsidRPr="003A0A70">
        <w:rPr>
          <w:rFonts w:ascii="Times New Roman" w:hAnsi="Times New Roman" w:cs="Times New Roman"/>
          <w:sz w:val="24"/>
          <w:szCs w:val="24"/>
        </w:rPr>
        <w:t>Common-size Balance Sheet</w:t>
      </w:r>
    </w:p>
    <w:p w14:paraId="2749F63A" w14:textId="77777777" w:rsidR="00086DF3" w:rsidRPr="003A0A70" w:rsidRDefault="00086DF3" w:rsidP="00086DF3">
      <w:pPr>
        <w:pStyle w:val="ListParagraph"/>
        <w:numPr>
          <w:ilvl w:val="0"/>
          <w:numId w:val="2"/>
        </w:numPr>
        <w:rPr>
          <w:rFonts w:ascii="Times New Roman" w:hAnsi="Times New Roman" w:cs="Times New Roman"/>
          <w:sz w:val="24"/>
          <w:szCs w:val="24"/>
        </w:rPr>
      </w:pPr>
      <w:r w:rsidRPr="003A0A70">
        <w:rPr>
          <w:rFonts w:ascii="Times New Roman" w:hAnsi="Times New Roman" w:cs="Times New Roman"/>
          <w:sz w:val="24"/>
          <w:szCs w:val="24"/>
        </w:rPr>
        <w:t>Common-size Income Statement</w:t>
      </w:r>
    </w:p>
    <w:p w14:paraId="0B5FEB1A" w14:textId="77777777" w:rsidR="00086DF3" w:rsidRPr="003A0A70" w:rsidRDefault="00086DF3" w:rsidP="00086DF3">
      <w:pPr>
        <w:pStyle w:val="ListParagraph"/>
        <w:numPr>
          <w:ilvl w:val="0"/>
          <w:numId w:val="2"/>
        </w:numPr>
        <w:rPr>
          <w:rFonts w:ascii="Times New Roman" w:hAnsi="Times New Roman" w:cs="Times New Roman"/>
          <w:sz w:val="24"/>
          <w:szCs w:val="24"/>
        </w:rPr>
      </w:pPr>
      <w:r w:rsidRPr="003A0A70">
        <w:rPr>
          <w:rFonts w:ascii="Times New Roman" w:hAnsi="Times New Roman" w:cs="Times New Roman"/>
          <w:sz w:val="24"/>
          <w:szCs w:val="24"/>
        </w:rPr>
        <w:t>Cash Flow Statement</w:t>
      </w:r>
    </w:p>
    <w:p w14:paraId="79CAEE07" w14:textId="77777777" w:rsidR="00086DF3" w:rsidRPr="003A0A70" w:rsidRDefault="00086DF3" w:rsidP="00086DF3">
      <w:pPr>
        <w:pStyle w:val="ListParagraph"/>
        <w:numPr>
          <w:ilvl w:val="0"/>
          <w:numId w:val="2"/>
        </w:numPr>
        <w:rPr>
          <w:rFonts w:ascii="Times New Roman" w:hAnsi="Times New Roman" w:cs="Times New Roman"/>
          <w:sz w:val="24"/>
          <w:szCs w:val="24"/>
        </w:rPr>
      </w:pPr>
      <w:r w:rsidRPr="003A0A70">
        <w:rPr>
          <w:rFonts w:ascii="Times New Roman" w:hAnsi="Times New Roman" w:cs="Times New Roman"/>
          <w:sz w:val="24"/>
          <w:szCs w:val="24"/>
        </w:rPr>
        <w:t>Financial Ratios</w:t>
      </w:r>
    </w:p>
    <w:p w14:paraId="3DE95151" w14:textId="77777777" w:rsidR="00CC29D8" w:rsidRPr="003A0A70" w:rsidRDefault="00CC29D8">
      <w:pPr>
        <w:rPr>
          <w:rFonts w:ascii="Times New Roman" w:hAnsi="Times New Roman" w:cs="Times New Roman"/>
          <w:sz w:val="24"/>
          <w:szCs w:val="24"/>
        </w:rPr>
      </w:pPr>
    </w:p>
    <w:p w14:paraId="3AE15549" w14:textId="77777777" w:rsidR="00CC29D8" w:rsidRPr="003A0A70" w:rsidRDefault="00CC29D8">
      <w:pPr>
        <w:rPr>
          <w:rFonts w:ascii="Times New Roman" w:hAnsi="Times New Roman" w:cs="Times New Roman"/>
          <w:sz w:val="24"/>
          <w:szCs w:val="24"/>
        </w:rPr>
      </w:pPr>
    </w:p>
    <w:p w14:paraId="7191A895" w14:textId="77777777" w:rsidR="00CC29D8" w:rsidRPr="003A0A70" w:rsidRDefault="00CC29D8">
      <w:pPr>
        <w:rPr>
          <w:rFonts w:ascii="Times New Roman" w:hAnsi="Times New Roman" w:cs="Times New Roman"/>
          <w:sz w:val="24"/>
          <w:szCs w:val="24"/>
        </w:rPr>
      </w:pPr>
    </w:p>
    <w:p w14:paraId="7BFD5EE0" w14:textId="77777777" w:rsidR="00CC29D8" w:rsidRPr="003A0A70" w:rsidRDefault="00CC29D8">
      <w:pPr>
        <w:rPr>
          <w:rFonts w:ascii="Times New Roman" w:hAnsi="Times New Roman" w:cs="Times New Roman"/>
          <w:sz w:val="24"/>
          <w:szCs w:val="24"/>
        </w:rPr>
      </w:pPr>
    </w:p>
    <w:p w14:paraId="422DB63B" w14:textId="77777777" w:rsidR="00CC29D8" w:rsidRPr="003A0A70" w:rsidRDefault="00CC29D8">
      <w:pPr>
        <w:rPr>
          <w:rFonts w:ascii="Times New Roman" w:hAnsi="Times New Roman" w:cs="Times New Roman"/>
          <w:sz w:val="24"/>
          <w:szCs w:val="24"/>
        </w:rPr>
      </w:pPr>
    </w:p>
    <w:p w14:paraId="6EB4BCD6" w14:textId="77777777" w:rsidR="00CC29D8" w:rsidRPr="003A0A70" w:rsidRDefault="00CC29D8">
      <w:pPr>
        <w:rPr>
          <w:rFonts w:ascii="Times New Roman" w:hAnsi="Times New Roman" w:cs="Times New Roman"/>
          <w:sz w:val="24"/>
          <w:szCs w:val="24"/>
        </w:rPr>
      </w:pPr>
    </w:p>
    <w:p w14:paraId="4A6237BB" w14:textId="77777777" w:rsidR="00CC29D8" w:rsidRPr="003A0A70" w:rsidRDefault="00CC29D8">
      <w:pPr>
        <w:rPr>
          <w:rFonts w:ascii="Times New Roman" w:hAnsi="Times New Roman" w:cs="Times New Roman"/>
          <w:sz w:val="24"/>
          <w:szCs w:val="24"/>
        </w:rPr>
      </w:pPr>
    </w:p>
    <w:p w14:paraId="71F1115C" w14:textId="77BA2070" w:rsidR="004B569D" w:rsidRPr="004B569D" w:rsidRDefault="005B49A4" w:rsidP="00F10B33">
      <w:pPr>
        <w:pStyle w:val="Heading1"/>
        <w:spacing w:line="480" w:lineRule="auto"/>
        <w:contextualSpacing/>
        <w:jc w:val="center"/>
        <w:rPr>
          <w:rFonts w:ascii="Times New Roman" w:hAnsi="Times New Roman" w:cs="Times New Roman"/>
          <w:b/>
          <w:bCs/>
          <w:color w:val="auto"/>
          <w:sz w:val="24"/>
          <w:szCs w:val="24"/>
        </w:rPr>
      </w:pPr>
      <w:bookmarkStart w:id="0" w:name="_Abstract"/>
      <w:bookmarkEnd w:id="0"/>
      <w:r w:rsidRPr="00F10B33">
        <w:rPr>
          <w:rFonts w:ascii="Times New Roman" w:hAnsi="Times New Roman" w:cs="Times New Roman"/>
          <w:bCs/>
          <w:color w:val="auto"/>
          <w:sz w:val="24"/>
          <w:szCs w:val="24"/>
        </w:rPr>
        <w:lastRenderedPageBreak/>
        <w:t>Abstract</w:t>
      </w:r>
    </w:p>
    <w:p w14:paraId="61A26BCD" w14:textId="5A575AFC" w:rsidR="00FA2F96" w:rsidRDefault="008D2EBD" w:rsidP="004B569D">
      <w:pPr>
        <w:spacing w:line="480" w:lineRule="auto"/>
        <w:contextualSpacing/>
        <w:rPr>
          <w:rFonts w:ascii="Times New Roman" w:hAnsi="Times New Roman" w:cs="Times New Roman"/>
          <w:sz w:val="24"/>
          <w:szCs w:val="24"/>
        </w:rPr>
      </w:pPr>
      <w:r w:rsidRPr="008D2EBD">
        <w:rPr>
          <w:rFonts w:ascii="Times New Roman" w:hAnsi="Times New Roman" w:cs="Times New Roman"/>
          <w:sz w:val="24"/>
          <w:szCs w:val="24"/>
        </w:rPr>
        <w:t>This paper dives into the realm of financial ratios which will be used to analyze Electronic Arts Inc. (EA) and Activision Blizzard (ATVI) financial performance using their respective balance sheets, income statements, and cash flow statements from 2015 to 2019. All statements were downloaded from Mergent Online and are available in the appendix of this analysis. Also, this analysis will give a company overview of both firms followed by an industry overview. Then, both firm’s liquidity, profitability, efficiency, leverage, and valuation will be analyzed using calculated financial ratios which can be examined in Appendix F. When examining each financial part of the companies, each company will be examined alone, then compared against each other and the industry if the industry’s data is available. Moreover, the analysis will look at the common size and cash flow statements of both businesses, then provide a summary and conclusion of the finding of the analysis.</w:t>
      </w:r>
    </w:p>
    <w:p w14:paraId="2464252D" w14:textId="30F2FD59" w:rsidR="005B49A4" w:rsidRPr="003A0A70" w:rsidRDefault="005B49A4" w:rsidP="005B49A4">
      <w:pPr>
        <w:rPr>
          <w:rFonts w:ascii="Times New Roman" w:hAnsi="Times New Roman" w:cs="Times New Roman"/>
          <w:sz w:val="24"/>
          <w:szCs w:val="24"/>
        </w:rPr>
      </w:pPr>
    </w:p>
    <w:p w14:paraId="74EE1C8A" w14:textId="6DC9D8D6" w:rsidR="005B49A4" w:rsidRPr="003A0A70" w:rsidRDefault="005B49A4" w:rsidP="005B49A4">
      <w:pPr>
        <w:rPr>
          <w:rFonts w:ascii="Times New Roman" w:hAnsi="Times New Roman" w:cs="Times New Roman"/>
          <w:sz w:val="24"/>
          <w:szCs w:val="24"/>
        </w:rPr>
      </w:pPr>
    </w:p>
    <w:p w14:paraId="73906993" w14:textId="062F1289" w:rsidR="005B49A4" w:rsidRPr="003A0A70" w:rsidRDefault="005B49A4" w:rsidP="005B49A4">
      <w:pPr>
        <w:rPr>
          <w:rFonts w:ascii="Times New Roman" w:hAnsi="Times New Roman" w:cs="Times New Roman"/>
          <w:sz w:val="24"/>
          <w:szCs w:val="24"/>
        </w:rPr>
      </w:pPr>
    </w:p>
    <w:p w14:paraId="56E6B50F" w14:textId="6BBCEF7E" w:rsidR="005B49A4" w:rsidRPr="003A0A70" w:rsidRDefault="005B49A4" w:rsidP="005B49A4">
      <w:pPr>
        <w:rPr>
          <w:rFonts w:ascii="Times New Roman" w:hAnsi="Times New Roman" w:cs="Times New Roman"/>
          <w:sz w:val="24"/>
          <w:szCs w:val="24"/>
        </w:rPr>
      </w:pPr>
    </w:p>
    <w:p w14:paraId="4A3C95F5" w14:textId="1151A21C" w:rsidR="005B49A4" w:rsidRPr="003A0A70" w:rsidRDefault="005B49A4" w:rsidP="005B49A4">
      <w:pPr>
        <w:rPr>
          <w:rFonts w:ascii="Times New Roman" w:hAnsi="Times New Roman" w:cs="Times New Roman"/>
          <w:sz w:val="24"/>
          <w:szCs w:val="24"/>
        </w:rPr>
      </w:pPr>
    </w:p>
    <w:p w14:paraId="03C4D84E" w14:textId="31AACA6E" w:rsidR="005B49A4" w:rsidRPr="003A0A70" w:rsidRDefault="005B49A4" w:rsidP="005B49A4">
      <w:pPr>
        <w:rPr>
          <w:rFonts w:ascii="Times New Roman" w:hAnsi="Times New Roman" w:cs="Times New Roman"/>
          <w:sz w:val="24"/>
          <w:szCs w:val="24"/>
        </w:rPr>
      </w:pPr>
    </w:p>
    <w:p w14:paraId="0024AA3E" w14:textId="19A3BC8E" w:rsidR="005B49A4" w:rsidRPr="003A0A70" w:rsidRDefault="005B49A4" w:rsidP="005B49A4">
      <w:pPr>
        <w:rPr>
          <w:rFonts w:ascii="Times New Roman" w:hAnsi="Times New Roman" w:cs="Times New Roman"/>
          <w:sz w:val="24"/>
          <w:szCs w:val="24"/>
        </w:rPr>
      </w:pPr>
    </w:p>
    <w:p w14:paraId="3985579F" w14:textId="4B7F5445" w:rsidR="005B49A4" w:rsidRPr="003A0A70" w:rsidRDefault="005B49A4" w:rsidP="005B49A4">
      <w:pPr>
        <w:rPr>
          <w:rFonts w:ascii="Times New Roman" w:hAnsi="Times New Roman" w:cs="Times New Roman"/>
          <w:sz w:val="24"/>
          <w:szCs w:val="24"/>
        </w:rPr>
      </w:pPr>
    </w:p>
    <w:p w14:paraId="6ED0C17E" w14:textId="599BE43A" w:rsidR="005B49A4" w:rsidRPr="003A0A70" w:rsidRDefault="005B49A4" w:rsidP="005B49A4">
      <w:pPr>
        <w:rPr>
          <w:rFonts w:ascii="Times New Roman" w:hAnsi="Times New Roman" w:cs="Times New Roman"/>
          <w:sz w:val="24"/>
          <w:szCs w:val="24"/>
        </w:rPr>
      </w:pPr>
    </w:p>
    <w:p w14:paraId="4C8F5CD0" w14:textId="32E865F0" w:rsidR="005B49A4" w:rsidRPr="003A0A70" w:rsidRDefault="005B49A4" w:rsidP="005B49A4">
      <w:pPr>
        <w:rPr>
          <w:rFonts w:ascii="Times New Roman" w:hAnsi="Times New Roman" w:cs="Times New Roman"/>
          <w:sz w:val="24"/>
          <w:szCs w:val="24"/>
        </w:rPr>
      </w:pPr>
    </w:p>
    <w:p w14:paraId="189B81E1" w14:textId="20D2587A" w:rsidR="005B49A4" w:rsidRPr="003A0A70" w:rsidRDefault="005B49A4" w:rsidP="005B49A4">
      <w:pPr>
        <w:rPr>
          <w:rFonts w:ascii="Times New Roman" w:hAnsi="Times New Roman" w:cs="Times New Roman"/>
          <w:sz w:val="24"/>
          <w:szCs w:val="24"/>
        </w:rPr>
      </w:pPr>
    </w:p>
    <w:p w14:paraId="4098FB97" w14:textId="47F89D55" w:rsidR="005B49A4" w:rsidRPr="003A0A70" w:rsidRDefault="005B49A4" w:rsidP="005B49A4">
      <w:pPr>
        <w:rPr>
          <w:rFonts w:ascii="Times New Roman" w:hAnsi="Times New Roman" w:cs="Times New Roman"/>
          <w:sz w:val="24"/>
          <w:szCs w:val="24"/>
        </w:rPr>
      </w:pPr>
    </w:p>
    <w:p w14:paraId="310E4B05" w14:textId="77777777" w:rsidR="005B49A4" w:rsidRPr="003A0A70" w:rsidRDefault="005B49A4" w:rsidP="005B49A4">
      <w:pPr>
        <w:rPr>
          <w:rFonts w:ascii="Times New Roman" w:hAnsi="Times New Roman" w:cs="Times New Roman"/>
          <w:sz w:val="24"/>
          <w:szCs w:val="24"/>
        </w:rPr>
      </w:pPr>
      <w:bookmarkStart w:id="1" w:name="_GoBack"/>
      <w:bookmarkEnd w:id="1"/>
    </w:p>
    <w:p w14:paraId="27CD8EAF" w14:textId="0F972690" w:rsidR="00721325" w:rsidRPr="00721325" w:rsidRDefault="00F10B33" w:rsidP="008D2EBD">
      <w:pPr>
        <w:pStyle w:val="Heading1"/>
        <w:tabs>
          <w:tab w:val="center" w:pos="4680"/>
        </w:tabs>
        <w:spacing w:line="480" w:lineRule="auto"/>
        <w:contextualSpacing/>
        <w:jc w:val="center"/>
        <w:rPr>
          <w:rFonts w:ascii="Times New Roman" w:hAnsi="Times New Roman" w:cs="Times New Roman"/>
          <w:color w:val="auto"/>
          <w:sz w:val="24"/>
          <w:szCs w:val="24"/>
        </w:rPr>
      </w:pPr>
      <w:bookmarkStart w:id="2" w:name="_Company_Overview"/>
      <w:bookmarkEnd w:id="2"/>
      <w:r w:rsidRPr="00F10B33">
        <w:rPr>
          <w:rFonts w:ascii="Times New Roman" w:hAnsi="Times New Roman" w:cs="Times New Roman"/>
          <w:color w:val="auto"/>
          <w:sz w:val="24"/>
          <w:szCs w:val="24"/>
        </w:rPr>
        <w:lastRenderedPageBreak/>
        <w:t xml:space="preserve">Financial </w:t>
      </w:r>
      <w:r>
        <w:rPr>
          <w:rFonts w:ascii="Times New Roman" w:hAnsi="Times New Roman" w:cs="Times New Roman"/>
          <w:color w:val="auto"/>
          <w:sz w:val="24"/>
          <w:szCs w:val="24"/>
        </w:rPr>
        <w:t xml:space="preserve">Analysis of Electronic </w:t>
      </w:r>
      <w:r w:rsidR="00250DA5">
        <w:rPr>
          <w:rFonts w:ascii="Times New Roman" w:hAnsi="Times New Roman" w:cs="Times New Roman"/>
          <w:color w:val="auto"/>
          <w:sz w:val="24"/>
          <w:szCs w:val="24"/>
        </w:rPr>
        <w:t xml:space="preserve">Arts </w:t>
      </w:r>
      <w:r w:rsidR="00250DA5" w:rsidRPr="00F10B33">
        <w:rPr>
          <w:rFonts w:ascii="Times New Roman" w:hAnsi="Times New Roman" w:cs="Times New Roman"/>
          <w:color w:val="auto"/>
          <w:sz w:val="24"/>
          <w:szCs w:val="24"/>
        </w:rPr>
        <w:t>Inc</w:t>
      </w:r>
      <w:r w:rsidRPr="00F10B33">
        <w:rPr>
          <w:rFonts w:ascii="Times New Roman" w:hAnsi="Times New Roman" w:cs="Times New Roman"/>
          <w:color w:val="auto"/>
          <w:sz w:val="24"/>
          <w:szCs w:val="24"/>
        </w:rPr>
        <w:t>. and Activision Blizzard Inc.</w:t>
      </w:r>
    </w:p>
    <w:p w14:paraId="7E87BC12" w14:textId="031B758F" w:rsidR="0047120B" w:rsidRPr="00BD7C04" w:rsidRDefault="00CC29D8" w:rsidP="008D2EBD">
      <w:pPr>
        <w:pStyle w:val="Heading1"/>
        <w:tabs>
          <w:tab w:val="center" w:pos="4680"/>
        </w:tabs>
        <w:spacing w:line="480" w:lineRule="auto"/>
        <w:contextualSpacing/>
        <w:jc w:val="center"/>
        <w:rPr>
          <w:rFonts w:ascii="Times New Roman" w:hAnsi="Times New Roman" w:cs="Times New Roman"/>
          <w:b/>
          <w:bCs/>
          <w:color w:val="auto"/>
          <w:sz w:val="24"/>
          <w:szCs w:val="24"/>
        </w:rPr>
      </w:pPr>
      <w:r w:rsidRPr="00BD7C04">
        <w:rPr>
          <w:rFonts w:ascii="Times New Roman" w:hAnsi="Times New Roman" w:cs="Times New Roman"/>
          <w:b/>
          <w:bCs/>
          <w:color w:val="auto"/>
          <w:sz w:val="24"/>
          <w:szCs w:val="24"/>
        </w:rPr>
        <w:t>Company Overview</w:t>
      </w:r>
    </w:p>
    <w:p w14:paraId="3846F5D3" w14:textId="77777777" w:rsidR="0047120B" w:rsidRPr="00BD7C04" w:rsidRDefault="00CC29D8" w:rsidP="008D2EBD">
      <w:pPr>
        <w:pStyle w:val="Heading1"/>
        <w:spacing w:line="480" w:lineRule="auto"/>
        <w:contextualSpacing/>
        <w:rPr>
          <w:rFonts w:ascii="Times New Roman" w:hAnsi="Times New Roman" w:cs="Times New Roman"/>
          <w:b/>
          <w:bCs/>
          <w:color w:val="auto"/>
          <w:sz w:val="24"/>
          <w:szCs w:val="24"/>
        </w:rPr>
      </w:pPr>
      <w:r w:rsidRPr="00BD7C04">
        <w:rPr>
          <w:rFonts w:ascii="Times New Roman" w:hAnsi="Times New Roman" w:cs="Times New Roman"/>
          <w:b/>
          <w:bCs/>
          <w:color w:val="auto"/>
          <w:sz w:val="24"/>
          <w:szCs w:val="24"/>
        </w:rPr>
        <w:t>Electronic Arts</w:t>
      </w:r>
    </w:p>
    <w:p w14:paraId="6C60EE70" w14:textId="3DFD0031" w:rsidR="00903A5B" w:rsidRPr="00721325" w:rsidRDefault="00903A5B" w:rsidP="008D2EBD">
      <w:pPr>
        <w:spacing w:line="480" w:lineRule="auto"/>
        <w:ind w:firstLine="720"/>
        <w:contextualSpacing/>
        <w:rPr>
          <w:rFonts w:ascii="Times New Roman" w:hAnsi="Times New Roman" w:cs="Times New Roman"/>
          <w:sz w:val="24"/>
          <w:szCs w:val="24"/>
        </w:rPr>
      </w:pPr>
      <w:r w:rsidRPr="00721325">
        <w:rPr>
          <w:rFonts w:ascii="Times New Roman" w:hAnsi="Times New Roman" w:cs="Times New Roman"/>
          <w:sz w:val="24"/>
          <w:szCs w:val="24"/>
        </w:rPr>
        <w:t xml:space="preserve">The main company that will be discussed in this report is the Electronic Arts Inc. It is an American company founded in 1982 by Trip Hawkins initially as Amazin’ Software and was later remained Electronic Arts. Electronic Arts grew to become a global leader in developing digital and interactive games for entertainment. The company creates software for a range of platforms including consoles, personal computers (PCs), mobile phones and tablets. Their </w:t>
      </w:r>
      <w:r w:rsidR="00D71767" w:rsidRPr="00721325">
        <w:rPr>
          <w:rFonts w:ascii="Times New Roman" w:hAnsi="Times New Roman" w:cs="Times New Roman"/>
          <w:sz w:val="24"/>
          <w:szCs w:val="24"/>
        </w:rPr>
        <w:t>record</w:t>
      </w:r>
      <w:r w:rsidRPr="00721325">
        <w:rPr>
          <w:rFonts w:ascii="Times New Roman" w:hAnsi="Times New Roman" w:cs="Times New Roman"/>
          <w:sz w:val="24"/>
          <w:szCs w:val="24"/>
        </w:rPr>
        <w:t xml:space="preserve"> </w:t>
      </w:r>
      <w:r w:rsidR="00D71767" w:rsidRPr="00721325">
        <w:rPr>
          <w:rFonts w:ascii="Times New Roman" w:hAnsi="Times New Roman" w:cs="Times New Roman"/>
          <w:sz w:val="24"/>
          <w:szCs w:val="24"/>
        </w:rPr>
        <w:t>widespread</w:t>
      </w:r>
      <w:r w:rsidRPr="00721325">
        <w:rPr>
          <w:rFonts w:ascii="Times New Roman" w:hAnsi="Times New Roman" w:cs="Times New Roman"/>
          <w:sz w:val="24"/>
          <w:szCs w:val="24"/>
        </w:rPr>
        <w:t xml:space="preserve"> games are </w:t>
      </w:r>
      <w:r w:rsidR="00A31D7C" w:rsidRPr="00721325">
        <w:rPr>
          <w:rFonts w:ascii="Times New Roman" w:hAnsi="Times New Roman" w:cs="Times New Roman"/>
          <w:sz w:val="24"/>
          <w:szCs w:val="24"/>
        </w:rPr>
        <w:t>created</w:t>
      </w:r>
      <w:r w:rsidRPr="00721325">
        <w:rPr>
          <w:rFonts w:ascii="Times New Roman" w:hAnsi="Times New Roman" w:cs="Times New Roman"/>
          <w:sz w:val="24"/>
          <w:szCs w:val="24"/>
        </w:rPr>
        <w:t xml:space="preserve"> on a </w:t>
      </w:r>
      <w:r w:rsidR="00D71767" w:rsidRPr="00721325">
        <w:rPr>
          <w:rFonts w:ascii="Times New Roman" w:hAnsi="Times New Roman" w:cs="Times New Roman"/>
          <w:sz w:val="24"/>
          <w:szCs w:val="24"/>
        </w:rPr>
        <w:t>selection</w:t>
      </w:r>
      <w:r w:rsidRPr="00721325">
        <w:rPr>
          <w:rFonts w:ascii="Times New Roman" w:hAnsi="Times New Roman" w:cs="Times New Roman"/>
          <w:sz w:val="24"/>
          <w:szCs w:val="24"/>
        </w:rPr>
        <w:t xml:space="preserve"> of intellectual property that includes </w:t>
      </w:r>
      <w:r w:rsidR="00D71767" w:rsidRPr="00721325">
        <w:rPr>
          <w:rFonts w:ascii="Times New Roman" w:hAnsi="Times New Roman" w:cs="Times New Roman"/>
          <w:sz w:val="24"/>
          <w:szCs w:val="24"/>
        </w:rPr>
        <w:t>recognized</w:t>
      </w:r>
      <w:r w:rsidRPr="00721325">
        <w:rPr>
          <w:rFonts w:ascii="Times New Roman" w:hAnsi="Times New Roman" w:cs="Times New Roman"/>
          <w:sz w:val="24"/>
          <w:szCs w:val="24"/>
        </w:rPr>
        <w:t xml:space="preserve"> brands, such as FIFA, Madden NFL</w:t>
      </w:r>
      <w:r w:rsidR="00D71767" w:rsidRPr="00721325">
        <w:rPr>
          <w:rFonts w:ascii="Times New Roman" w:hAnsi="Times New Roman" w:cs="Times New Roman"/>
          <w:sz w:val="24"/>
          <w:szCs w:val="24"/>
        </w:rPr>
        <w:t xml:space="preserve"> and </w:t>
      </w:r>
      <w:r w:rsidRPr="00721325">
        <w:rPr>
          <w:rFonts w:ascii="Times New Roman" w:hAnsi="Times New Roman" w:cs="Times New Roman"/>
          <w:sz w:val="24"/>
          <w:szCs w:val="24"/>
        </w:rPr>
        <w:t>Star Wars</w:t>
      </w:r>
      <w:r w:rsidR="00D71767" w:rsidRPr="00721325">
        <w:rPr>
          <w:rFonts w:ascii="Times New Roman" w:hAnsi="Times New Roman" w:cs="Times New Roman"/>
          <w:sz w:val="24"/>
          <w:szCs w:val="24"/>
        </w:rPr>
        <w:t>.</w:t>
      </w:r>
    </w:p>
    <w:p w14:paraId="3A7A9622" w14:textId="7BA7ACA7" w:rsidR="00903A5B" w:rsidRPr="00721325" w:rsidRDefault="00903A5B" w:rsidP="008D2EBD">
      <w:pPr>
        <w:spacing w:line="480" w:lineRule="auto"/>
        <w:ind w:firstLine="720"/>
        <w:contextualSpacing/>
        <w:rPr>
          <w:rFonts w:ascii="Times New Roman" w:hAnsi="Times New Roman" w:cs="Times New Roman"/>
          <w:sz w:val="24"/>
          <w:szCs w:val="24"/>
        </w:rPr>
      </w:pPr>
      <w:r w:rsidRPr="00721325">
        <w:rPr>
          <w:rFonts w:ascii="Times New Roman" w:hAnsi="Times New Roman" w:cs="Times New Roman"/>
          <w:sz w:val="24"/>
          <w:szCs w:val="24"/>
        </w:rPr>
        <w:t xml:space="preserve">Electronic Arts </w:t>
      </w:r>
      <w:r w:rsidR="00FA2F96" w:rsidRPr="00721325">
        <w:rPr>
          <w:rFonts w:ascii="Times New Roman" w:hAnsi="Times New Roman" w:cs="Times New Roman"/>
          <w:sz w:val="24"/>
          <w:szCs w:val="24"/>
        </w:rPr>
        <w:t>Inc.</w:t>
      </w:r>
      <w:r w:rsidRPr="00721325">
        <w:rPr>
          <w:rFonts w:ascii="Times New Roman" w:hAnsi="Times New Roman" w:cs="Times New Roman"/>
          <w:sz w:val="24"/>
          <w:szCs w:val="24"/>
        </w:rPr>
        <w:t xml:space="preserve"> has posted impressive financials over the past five years, including revenue of over $4.95 billion and net income of $1.02 billion in 2019. </w:t>
      </w:r>
      <w:r w:rsidR="00A31D7C">
        <w:rPr>
          <w:rFonts w:ascii="Times New Roman" w:hAnsi="Times New Roman" w:cs="Times New Roman"/>
          <w:sz w:val="24"/>
          <w:szCs w:val="24"/>
        </w:rPr>
        <w:t xml:space="preserve">With their increased net incomes, EA recently made a big acquisition by buying </w:t>
      </w:r>
      <w:r w:rsidR="00A31D7C" w:rsidRPr="00721325">
        <w:rPr>
          <w:rFonts w:ascii="Times New Roman" w:hAnsi="Times New Roman" w:cs="Times New Roman"/>
          <w:sz w:val="24"/>
          <w:szCs w:val="24"/>
        </w:rPr>
        <w:t xml:space="preserve">Respawn Entertainment for about $315 million. </w:t>
      </w:r>
      <w:r w:rsidR="00A31D7C">
        <w:rPr>
          <w:rFonts w:ascii="Times New Roman" w:hAnsi="Times New Roman" w:cs="Times New Roman"/>
          <w:sz w:val="24"/>
          <w:szCs w:val="24"/>
        </w:rPr>
        <w:t>In</w:t>
      </w:r>
      <w:r w:rsidRPr="00721325">
        <w:rPr>
          <w:rFonts w:ascii="Times New Roman" w:hAnsi="Times New Roman" w:cs="Times New Roman"/>
          <w:sz w:val="24"/>
          <w:szCs w:val="24"/>
        </w:rPr>
        <w:t xml:space="preserve"> general</w:t>
      </w:r>
      <w:r w:rsidR="00A31D7C">
        <w:rPr>
          <w:rFonts w:ascii="Times New Roman" w:hAnsi="Times New Roman" w:cs="Times New Roman"/>
          <w:sz w:val="24"/>
          <w:szCs w:val="24"/>
        </w:rPr>
        <w:t>, their</w:t>
      </w:r>
      <w:r w:rsidRPr="00721325">
        <w:rPr>
          <w:rFonts w:ascii="Times New Roman" w:hAnsi="Times New Roman" w:cs="Times New Roman"/>
          <w:sz w:val="24"/>
          <w:szCs w:val="24"/>
        </w:rPr>
        <w:t xml:space="preserve"> financials a</w:t>
      </w:r>
      <w:r w:rsidR="00A31D7C">
        <w:rPr>
          <w:rFonts w:ascii="Times New Roman" w:hAnsi="Times New Roman" w:cs="Times New Roman"/>
          <w:sz w:val="24"/>
          <w:szCs w:val="24"/>
        </w:rPr>
        <w:t>ppear to be on an upward trend and a</w:t>
      </w:r>
      <w:r w:rsidRPr="00721325">
        <w:rPr>
          <w:rFonts w:ascii="Times New Roman" w:hAnsi="Times New Roman" w:cs="Times New Roman"/>
          <w:sz w:val="24"/>
          <w:szCs w:val="24"/>
        </w:rPr>
        <w:t>s of 2019, Electronic Arts Market share is 9.62%.</w:t>
      </w:r>
    </w:p>
    <w:p w14:paraId="3CB55D2F" w14:textId="1A0E87C0" w:rsidR="00CC29D8" w:rsidRPr="003A0A70" w:rsidRDefault="00CC29D8" w:rsidP="008D2EBD">
      <w:pPr>
        <w:pStyle w:val="Heading1"/>
        <w:spacing w:line="480" w:lineRule="auto"/>
        <w:contextualSpacing/>
        <w:rPr>
          <w:rFonts w:ascii="Times New Roman" w:hAnsi="Times New Roman" w:cs="Times New Roman"/>
          <w:b/>
          <w:bCs/>
          <w:color w:val="auto"/>
          <w:sz w:val="24"/>
          <w:szCs w:val="24"/>
        </w:rPr>
      </w:pPr>
      <w:r w:rsidRPr="003A0A70">
        <w:rPr>
          <w:rFonts w:ascii="Times New Roman" w:hAnsi="Times New Roman" w:cs="Times New Roman"/>
          <w:b/>
          <w:bCs/>
          <w:color w:val="auto"/>
          <w:sz w:val="24"/>
          <w:szCs w:val="24"/>
        </w:rPr>
        <w:t>Activision Blizzard</w:t>
      </w:r>
    </w:p>
    <w:p w14:paraId="0AF8A51A" w14:textId="7348B747" w:rsidR="00903A5B" w:rsidRPr="00721325" w:rsidRDefault="00903A5B" w:rsidP="008D2EBD">
      <w:pPr>
        <w:spacing w:line="480" w:lineRule="auto"/>
        <w:ind w:firstLine="720"/>
        <w:contextualSpacing/>
        <w:rPr>
          <w:rFonts w:ascii="Times New Roman" w:hAnsi="Times New Roman" w:cs="Times New Roman"/>
          <w:sz w:val="24"/>
          <w:szCs w:val="24"/>
        </w:rPr>
      </w:pPr>
      <w:r w:rsidRPr="00721325">
        <w:rPr>
          <w:rFonts w:ascii="Times New Roman" w:hAnsi="Times New Roman" w:cs="Times New Roman"/>
          <w:sz w:val="24"/>
          <w:szCs w:val="24"/>
        </w:rPr>
        <w:t>Activision Blizzard Inc is the main competitor of Electronic Arts Inc and will also be discussed at length in this report. Activision Blizzard develop</w:t>
      </w:r>
      <w:r w:rsidR="00D71767" w:rsidRPr="00721325">
        <w:rPr>
          <w:rFonts w:ascii="Times New Roman" w:hAnsi="Times New Roman" w:cs="Times New Roman"/>
          <w:sz w:val="24"/>
          <w:szCs w:val="24"/>
        </w:rPr>
        <w:t>s</w:t>
      </w:r>
      <w:r w:rsidRPr="00721325">
        <w:rPr>
          <w:rFonts w:ascii="Times New Roman" w:hAnsi="Times New Roman" w:cs="Times New Roman"/>
          <w:sz w:val="24"/>
          <w:szCs w:val="24"/>
        </w:rPr>
        <w:t xml:space="preserve"> and publish</w:t>
      </w:r>
      <w:r w:rsidR="00D71767" w:rsidRPr="00721325">
        <w:rPr>
          <w:rFonts w:ascii="Times New Roman" w:hAnsi="Times New Roman" w:cs="Times New Roman"/>
          <w:sz w:val="24"/>
          <w:szCs w:val="24"/>
        </w:rPr>
        <w:t>s</w:t>
      </w:r>
      <w:r w:rsidRPr="00721325">
        <w:rPr>
          <w:rFonts w:ascii="Times New Roman" w:hAnsi="Times New Roman" w:cs="Times New Roman"/>
          <w:sz w:val="24"/>
          <w:szCs w:val="24"/>
        </w:rPr>
        <w:t xml:space="preserve"> </w:t>
      </w:r>
      <w:r w:rsidR="00D71767" w:rsidRPr="00721325">
        <w:rPr>
          <w:rFonts w:ascii="Times New Roman" w:hAnsi="Times New Roman" w:cs="Times New Roman"/>
          <w:sz w:val="24"/>
          <w:szCs w:val="24"/>
        </w:rPr>
        <w:t>collaborative</w:t>
      </w:r>
      <w:r w:rsidRPr="00721325">
        <w:rPr>
          <w:rFonts w:ascii="Times New Roman" w:hAnsi="Times New Roman" w:cs="Times New Roman"/>
          <w:sz w:val="24"/>
          <w:szCs w:val="24"/>
        </w:rPr>
        <w:t xml:space="preserve"> entertainment content and services. The company</w:t>
      </w:r>
      <w:r w:rsidR="00772EC7">
        <w:rPr>
          <w:rFonts w:ascii="Times New Roman" w:hAnsi="Times New Roman" w:cs="Times New Roman"/>
          <w:sz w:val="24"/>
          <w:szCs w:val="24"/>
        </w:rPr>
        <w:t>’s headquarters</w:t>
      </w:r>
      <w:r w:rsidRPr="00721325">
        <w:rPr>
          <w:rFonts w:ascii="Times New Roman" w:hAnsi="Times New Roman" w:cs="Times New Roman"/>
          <w:sz w:val="24"/>
          <w:szCs w:val="24"/>
        </w:rPr>
        <w:t xml:space="preserve"> in Santa Monica, California and is the world’s most </w:t>
      </w:r>
      <w:r w:rsidR="00772EC7" w:rsidRPr="00721325">
        <w:rPr>
          <w:rFonts w:ascii="Times New Roman" w:hAnsi="Times New Roman" w:cs="Times New Roman"/>
          <w:sz w:val="24"/>
          <w:szCs w:val="24"/>
        </w:rPr>
        <w:t>popular</w:t>
      </w:r>
      <w:r w:rsidRPr="00721325">
        <w:rPr>
          <w:rFonts w:ascii="Times New Roman" w:hAnsi="Times New Roman" w:cs="Times New Roman"/>
          <w:sz w:val="24"/>
          <w:szCs w:val="24"/>
        </w:rPr>
        <w:t xml:space="preserve"> standalone </w:t>
      </w:r>
      <w:r w:rsidR="00772EC7">
        <w:rPr>
          <w:rFonts w:ascii="Times New Roman" w:hAnsi="Times New Roman" w:cs="Times New Roman"/>
          <w:sz w:val="24"/>
          <w:szCs w:val="24"/>
        </w:rPr>
        <w:t>software</w:t>
      </w:r>
      <w:r w:rsidRPr="00721325">
        <w:rPr>
          <w:rFonts w:ascii="Times New Roman" w:hAnsi="Times New Roman" w:cs="Times New Roman"/>
          <w:sz w:val="24"/>
          <w:szCs w:val="24"/>
        </w:rPr>
        <w:t xml:space="preserve"> entertainment company. As of 2019 Activision Blizzard hold a 4% market share of the global gaming industry.</w:t>
      </w:r>
    </w:p>
    <w:p w14:paraId="38CCD6D2" w14:textId="3BF714C0" w:rsidR="00903A5B" w:rsidRPr="00721325" w:rsidRDefault="00903A5B" w:rsidP="008D2EBD">
      <w:pPr>
        <w:spacing w:line="480" w:lineRule="auto"/>
        <w:ind w:firstLine="720"/>
        <w:contextualSpacing/>
        <w:rPr>
          <w:rFonts w:ascii="Times New Roman" w:hAnsi="Times New Roman" w:cs="Times New Roman"/>
          <w:sz w:val="24"/>
          <w:szCs w:val="24"/>
        </w:rPr>
      </w:pPr>
      <w:r w:rsidRPr="00721325">
        <w:rPr>
          <w:rFonts w:ascii="Times New Roman" w:hAnsi="Times New Roman" w:cs="Times New Roman"/>
          <w:sz w:val="24"/>
          <w:szCs w:val="24"/>
        </w:rPr>
        <w:t xml:space="preserve">Activision has five operating units. The first is Activision which develops and publishes immersive entertainment content such as Call of Duty and Skylanders. The second </w:t>
      </w:r>
      <w:r w:rsidR="00D71767" w:rsidRPr="00721325">
        <w:rPr>
          <w:rFonts w:ascii="Times New Roman" w:hAnsi="Times New Roman" w:cs="Times New Roman"/>
          <w:sz w:val="24"/>
          <w:szCs w:val="24"/>
        </w:rPr>
        <w:t>component</w:t>
      </w:r>
      <w:r w:rsidRPr="00721325">
        <w:rPr>
          <w:rFonts w:ascii="Times New Roman" w:hAnsi="Times New Roman" w:cs="Times New Roman"/>
          <w:sz w:val="24"/>
          <w:szCs w:val="24"/>
        </w:rPr>
        <w:t xml:space="preserve"> is </w:t>
      </w:r>
      <w:r w:rsidRPr="00721325">
        <w:rPr>
          <w:rFonts w:ascii="Times New Roman" w:hAnsi="Times New Roman" w:cs="Times New Roman"/>
          <w:sz w:val="24"/>
          <w:szCs w:val="24"/>
        </w:rPr>
        <w:lastRenderedPageBreak/>
        <w:t xml:space="preserve">Blizzard Entertainment which </w:t>
      </w:r>
      <w:r w:rsidR="00D71767" w:rsidRPr="00721325">
        <w:rPr>
          <w:rFonts w:ascii="Times New Roman" w:hAnsi="Times New Roman" w:cs="Times New Roman"/>
          <w:sz w:val="24"/>
          <w:szCs w:val="24"/>
        </w:rPr>
        <w:t>makes</w:t>
      </w:r>
      <w:r w:rsidRPr="00721325">
        <w:rPr>
          <w:rFonts w:ascii="Times New Roman" w:hAnsi="Times New Roman" w:cs="Times New Roman"/>
          <w:sz w:val="24"/>
          <w:szCs w:val="24"/>
        </w:rPr>
        <w:t xml:space="preserve"> and </w:t>
      </w:r>
      <w:r w:rsidR="00D71767" w:rsidRPr="00721325">
        <w:rPr>
          <w:rFonts w:ascii="Times New Roman" w:hAnsi="Times New Roman" w:cs="Times New Roman"/>
          <w:sz w:val="24"/>
          <w:szCs w:val="24"/>
        </w:rPr>
        <w:t>releases</w:t>
      </w:r>
      <w:r w:rsidRPr="00721325">
        <w:rPr>
          <w:rFonts w:ascii="Times New Roman" w:hAnsi="Times New Roman" w:cs="Times New Roman"/>
          <w:sz w:val="24"/>
          <w:szCs w:val="24"/>
        </w:rPr>
        <w:t xml:space="preserve"> some of the most </w:t>
      </w:r>
      <w:r w:rsidR="00D71767" w:rsidRPr="00721325">
        <w:rPr>
          <w:rFonts w:ascii="Times New Roman" w:hAnsi="Times New Roman" w:cs="Times New Roman"/>
          <w:sz w:val="24"/>
          <w:szCs w:val="24"/>
        </w:rPr>
        <w:t>renowned</w:t>
      </w:r>
      <w:r w:rsidRPr="00721325">
        <w:rPr>
          <w:rFonts w:ascii="Times New Roman" w:hAnsi="Times New Roman" w:cs="Times New Roman"/>
          <w:sz w:val="24"/>
          <w:szCs w:val="24"/>
        </w:rPr>
        <w:t xml:space="preserve"> entertainment games such as World of Warcraft and StarCraft. The third unit is King Digital Entertainment which is responsible for mobile games such as Candy Crush and Farm Heroes. The fourth unit is Major League Gamin which focuses on building Activision Blizzard’s competitive gaming leadership. The last unit is Activision Blizzard Studios makes original films and television content based on Activision Blizzard’s library of intellectual properties.</w:t>
      </w:r>
    </w:p>
    <w:p w14:paraId="5213604F" w14:textId="3075F88C" w:rsidR="00CC29D8" w:rsidRPr="003A0A70" w:rsidRDefault="00CC29D8" w:rsidP="008D2EBD">
      <w:pPr>
        <w:pStyle w:val="Heading1"/>
        <w:spacing w:line="480" w:lineRule="auto"/>
        <w:contextualSpacing/>
        <w:jc w:val="center"/>
        <w:rPr>
          <w:rFonts w:ascii="Times New Roman" w:hAnsi="Times New Roman" w:cs="Times New Roman"/>
          <w:b/>
          <w:bCs/>
          <w:color w:val="auto"/>
          <w:sz w:val="24"/>
          <w:szCs w:val="24"/>
        </w:rPr>
      </w:pPr>
      <w:bookmarkStart w:id="3" w:name="_Industry_Overview"/>
      <w:bookmarkEnd w:id="3"/>
      <w:r w:rsidRPr="003A0A70">
        <w:rPr>
          <w:rFonts w:ascii="Times New Roman" w:hAnsi="Times New Roman" w:cs="Times New Roman"/>
          <w:b/>
          <w:bCs/>
          <w:color w:val="auto"/>
          <w:sz w:val="24"/>
          <w:szCs w:val="24"/>
        </w:rPr>
        <w:t>Industry Overview</w:t>
      </w:r>
    </w:p>
    <w:p w14:paraId="1168247B" w14:textId="26C83BA1" w:rsidR="00721325" w:rsidRDefault="00772EC7" w:rsidP="008D2EB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industries</w:t>
      </w:r>
      <w:r w:rsidR="004F3007" w:rsidRPr="003A0A70">
        <w:rPr>
          <w:rFonts w:ascii="Times New Roman" w:hAnsi="Times New Roman" w:cs="Times New Roman"/>
          <w:sz w:val="24"/>
          <w:szCs w:val="24"/>
        </w:rPr>
        <w:t xml:space="preserve"> that best describes the market that Electronic Arts Inc and Activision Blizzard Inc fall under is the Video Games Industry </w:t>
      </w:r>
      <w:r w:rsidR="00136A9A">
        <w:rPr>
          <w:rFonts w:ascii="Times New Roman" w:hAnsi="Times New Roman" w:cs="Times New Roman"/>
          <w:sz w:val="24"/>
          <w:szCs w:val="24"/>
        </w:rPr>
        <w:t xml:space="preserve">both </w:t>
      </w:r>
      <w:r w:rsidR="004F3007" w:rsidRPr="003A0A70">
        <w:rPr>
          <w:rFonts w:ascii="Times New Roman" w:hAnsi="Times New Roman" w:cs="Times New Roman"/>
          <w:sz w:val="24"/>
          <w:szCs w:val="24"/>
        </w:rPr>
        <w:t xml:space="preserve">in the United States and in the Global Market. The United States gaming industry is estimated to have grown at an average annual rate of 5.7% </w:t>
      </w:r>
      <w:r w:rsidR="00721325">
        <w:rPr>
          <w:rFonts w:ascii="Times New Roman" w:hAnsi="Times New Roman" w:cs="Times New Roman"/>
          <w:sz w:val="24"/>
          <w:szCs w:val="24"/>
        </w:rPr>
        <w:t>and i</w:t>
      </w:r>
      <w:r w:rsidR="004F3007" w:rsidRPr="003A0A70">
        <w:rPr>
          <w:rFonts w:ascii="Times New Roman" w:hAnsi="Times New Roman" w:cs="Times New Roman"/>
          <w:sz w:val="24"/>
          <w:szCs w:val="24"/>
        </w:rPr>
        <w:t xml:space="preserve">s projected to be worth over $90 billion by 2020, from about </w:t>
      </w:r>
      <w:r>
        <w:rPr>
          <w:rFonts w:ascii="Times New Roman" w:hAnsi="Times New Roman" w:cs="Times New Roman"/>
          <w:sz w:val="24"/>
          <w:szCs w:val="24"/>
        </w:rPr>
        <w:t>$</w:t>
      </w:r>
      <w:r w:rsidR="004F3007" w:rsidRPr="003A0A70">
        <w:rPr>
          <w:rFonts w:ascii="Times New Roman" w:hAnsi="Times New Roman" w:cs="Times New Roman"/>
          <w:sz w:val="24"/>
          <w:szCs w:val="24"/>
        </w:rPr>
        <w:t>78.61 billion in 2017. As of 2016, the market size was $63 billion and had 171,512 business</w:t>
      </w:r>
      <w:r>
        <w:rPr>
          <w:rFonts w:ascii="Times New Roman" w:hAnsi="Times New Roman" w:cs="Times New Roman"/>
          <w:sz w:val="24"/>
          <w:szCs w:val="24"/>
        </w:rPr>
        <w:t>es in the</w:t>
      </w:r>
      <w:r w:rsidR="004F3007" w:rsidRPr="003A0A70">
        <w:rPr>
          <w:rFonts w:ascii="Times New Roman" w:hAnsi="Times New Roman" w:cs="Times New Roman"/>
          <w:sz w:val="24"/>
          <w:szCs w:val="24"/>
        </w:rPr>
        <w:t xml:space="preserve"> industry and employed around 298,217 people. The global market for video games is estimated to have generated $119,6 billion in revenue in 2018 and is forecasted to reach $300 billion by 2025. With over 2.5 billion gamers across the world, about 80% of the worldwide video game industry’s revenue in</w:t>
      </w:r>
      <w:r>
        <w:rPr>
          <w:rFonts w:ascii="Times New Roman" w:hAnsi="Times New Roman" w:cs="Times New Roman"/>
          <w:sz w:val="24"/>
          <w:szCs w:val="24"/>
        </w:rPr>
        <w:t xml:space="preserve"> </w:t>
      </w:r>
      <w:r w:rsidR="004F3007" w:rsidRPr="003A0A70">
        <w:rPr>
          <w:rFonts w:ascii="Times New Roman" w:hAnsi="Times New Roman" w:cs="Times New Roman"/>
          <w:sz w:val="24"/>
          <w:szCs w:val="24"/>
        </w:rPr>
        <w:t>2017 came from software sales. The</w:t>
      </w:r>
      <w:r>
        <w:rPr>
          <w:rFonts w:ascii="Times New Roman" w:hAnsi="Times New Roman" w:cs="Times New Roman"/>
          <w:sz w:val="24"/>
          <w:szCs w:val="24"/>
        </w:rPr>
        <w:t xml:space="preserve"> largest gaming market in 2017 wa</w:t>
      </w:r>
      <w:r w:rsidR="004F3007" w:rsidRPr="003A0A70">
        <w:rPr>
          <w:rFonts w:ascii="Times New Roman" w:hAnsi="Times New Roman" w:cs="Times New Roman"/>
          <w:sz w:val="24"/>
          <w:szCs w:val="24"/>
        </w:rPr>
        <w:t>s the Asia Pacific market which reached $51.2 billion. The major players in this industry are Microsoft Corporation, Sony Corporation, GameStop Corporation, Nintendo Co. Ltd, Activision Blizzard Inc., and Electronic Arts Inc.</w:t>
      </w:r>
    </w:p>
    <w:p w14:paraId="3BEDBDC8" w14:textId="678C6601" w:rsidR="009A4660" w:rsidRDefault="009A4660" w:rsidP="00E073E7">
      <w:pPr>
        <w:spacing w:line="240" w:lineRule="auto"/>
        <w:ind w:firstLine="720"/>
        <w:jc w:val="center"/>
        <w:rPr>
          <w:rFonts w:ascii="Times New Roman" w:hAnsi="Times New Roman" w:cs="Times New Roman"/>
          <w:sz w:val="24"/>
          <w:szCs w:val="24"/>
        </w:rPr>
      </w:pPr>
      <w:r w:rsidRPr="003A0A70">
        <w:rPr>
          <w:rFonts w:ascii="Times New Roman" w:hAnsi="Times New Roman" w:cs="Times New Roman"/>
          <w:noProof/>
          <w:sz w:val="24"/>
          <w:szCs w:val="24"/>
        </w:rPr>
        <w:lastRenderedPageBreak/>
        <w:drawing>
          <wp:inline distT="0" distB="0" distL="0" distR="0" wp14:anchorId="6821519D" wp14:editId="6144EC25">
            <wp:extent cx="3976123" cy="444477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816" t="4893" r="3883" b="15786"/>
                    <a:stretch/>
                  </pic:blipFill>
                  <pic:spPr bwMode="auto">
                    <a:xfrm>
                      <a:off x="0" y="0"/>
                      <a:ext cx="4002888" cy="4474698"/>
                    </a:xfrm>
                    <a:prstGeom prst="rect">
                      <a:avLst/>
                    </a:prstGeom>
                    <a:noFill/>
                    <a:ln>
                      <a:noFill/>
                    </a:ln>
                    <a:extLst>
                      <a:ext uri="{53640926-AAD7-44D8-BBD7-CCE9431645EC}">
                        <a14:shadowObscured xmlns:a14="http://schemas.microsoft.com/office/drawing/2010/main"/>
                      </a:ext>
                    </a:extLst>
                  </pic:spPr>
                </pic:pic>
              </a:graphicData>
            </a:graphic>
          </wp:inline>
        </w:drawing>
      </w:r>
    </w:p>
    <w:p w14:paraId="10322522" w14:textId="1C5482FC" w:rsidR="00721325" w:rsidRPr="00E073E7" w:rsidRDefault="00721325" w:rsidP="00E073E7">
      <w:pPr>
        <w:spacing w:line="240" w:lineRule="auto"/>
        <w:jc w:val="center"/>
        <w:rPr>
          <w:rFonts w:ascii="Times New Roman" w:hAnsi="Times New Roman" w:cs="Times New Roman"/>
          <w:sz w:val="20"/>
          <w:szCs w:val="20"/>
        </w:rPr>
      </w:pPr>
      <w:r w:rsidRPr="00E073E7">
        <w:rPr>
          <w:rFonts w:ascii="Times New Roman" w:hAnsi="Times New Roman" w:cs="Times New Roman"/>
          <w:color w:val="333333"/>
          <w:sz w:val="20"/>
          <w:szCs w:val="20"/>
          <w:shd w:val="clear" w:color="auto" w:fill="FFFFFF"/>
        </w:rPr>
        <w:t xml:space="preserve">[Column Chart of Worldwide Game Market Revenues]. (n.d.). Retrieved from </w:t>
      </w:r>
      <w:hyperlink r:id="rId10" w:history="1">
        <w:r w:rsidRPr="00E073E7">
          <w:rPr>
            <w:rStyle w:val="Hyperlink"/>
            <w:rFonts w:ascii="Times New Roman" w:hAnsi="Times New Roman" w:cs="Times New Roman"/>
            <w:sz w:val="20"/>
            <w:szCs w:val="20"/>
          </w:rPr>
          <w:t>https://www.wepc.com/news/video-game-statistics/</w:t>
        </w:r>
      </w:hyperlink>
    </w:p>
    <w:p w14:paraId="2A968131" w14:textId="370EE6EA" w:rsidR="009A4660" w:rsidRPr="003A0A70" w:rsidRDefault="004F3007" w:rsidP="009A4660">
      <w:pPr>
        <w:spacing w:line="480" w:lineRule="auto"/>
        <w:ind w:firstLine="720"/>
        <w:contextualSpacing/>
        <w:rPr>
          <w:rFonts w:ascii="Times New Roman" w:hAnsi="Times New Roman" w:cs="Times New Roman"/>
          <w:sz w:val="24"/>
          <w:szCs w:val="24"/>
        </w:rPr>
      </w:pPr>
      <w:r w:rsidRPr="003A0A70">
        <w:rPr>
          <w:rFonts w:ascii="Times New Roman" w:hAnsi="Times New Roman" w:cs="Times New Roman"/>
          <w:sz w:val="24"/>
          <w:szCs w:val="24"/>
        </w:rPr>
        <w:t>Gaming consoles are the main platform for products in this market, with the main console manufacturers being Sony, Microsoft, and Nintendo. One sector of the gaming industry that has boomed in the past five years is the online competitive gaming sector. At the height of his popularity, professional gamer Tyler ‘Ninja’ Blevins was earning as much as $500 thousand a month. As of 2019, 25% of the gaming market revenue came from PC games, 26% from console and virtual reality games, 32% from smartphones and watches games, 11% tablet games, and 4% from web games.</w:t>
      </w:r>
    </w:p>
    <w:p w14:paraId="6AE6FEFA" w14:textId="339D4E85" w:rsidR="009A4660" w:rsidRDefault="009A4660" w:rsidP="00E073E7">
      <w:pPr>
        <w:spacing w:line="240" w:lineRule="auto"/>
        <w:ind w:firstLine="720"/>
        <w:jc w:val="center"/>
        <w:rPr>
          <w:rFonts w:ascii="Times New Roman" w:hAnsi="Times New Roman" w:cs="Times New Roman"/>
          <w:sz w:val="24"/>
          <w:szCs w:val="24"/>
        </w:rPr>
      </w:pPr>
      <w:r w:rsidRPr="003A0A70">
        <w:rPr>
          <w:rFonts w:ascii="Times New Roman" w:hAnsi="Times New Roman" w:cs="Times New Roman"/>
          <w:noProof/>
          <w:sz w:val="24"/>
          <w:szCs w:val="24"/>
        </w:rPr>
        <w:lastRenderedPageBreak/>
        <w:drawing>
          <wp:inline distT="0" distB="0" distL="0" distR="0" wp14:anchorId="2C2427CD" wp14:editId="0217AD95">
            <wp:extent cx="3522428" cy="393357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012" b="12207"/>
                    <a:stretch/>
                  </pic:blipFill>
                  <pic:spPr bwMode="auto">
                    <a:xfrm>
                      <a:off x="0" y="0"/>
                      <a:ext cx="3547032" cy="3961048"/>
                    </a:xfrm>
                    <a:prstGeom prst="rect">
                      <a:avLst/>
                    </a:prstGeom>
                    <a:noFill/>
                    <a:ln>
                      <a:noFill/>
                    </a:ln>
                    <a:extLst>
                      <a:ext uri="{53640926-AAD7-44D8-BBD7-CCE9431645EC}">
                        <a14:shadowObscured xmlns:a14="http://schemas.microsoft.com/office/drawing/2010/main"/>
                      </a:ext>
                    </a:extLst>
                  </pic:spPr>
                </pic:pic>
              </a:graphicData>
            </a:graphic>
          </wp:inline>
        </w:drawing>
      </w:r>
    </w:p>
    <w:p w14:paraId="34DA2559" w14:textId="07E08F6D" w:rsidR="00E073E7" w:rsidRPr="00E073E7" w:rsidRDefault="00E073E7" w:rsidP="00E073E7">
      <w:pPr>
        <w:spacing w:line="240" w:lineRule="auto"/>
        <w:jc w:val="center"/>
        <w:rPr>
          <w:rFonts w:ascii="Times New Roman" w:hAnsi="Times New Roman" w:cs="Times New Roman"/>
          <w:sz w:val="16"/>
          <w:szCs w:val="16"/>
        </w:rPr>
      </w:pPr>
      <w:r w:rsidRPr="00E073E7">
        <w:rPr>
          <w:rFonts w:ascii="Times New Roman" w:hAnsi="Times New Roman" w:cs="Times New Roman"/>
          <w:color w:val="333333"/>
          <w:sz w:val="20"/>
          <w:szCs w:val="20"/>
          <w:shd w:val="clear" w:color="auto" w:fill="FFFFFF"/>
        </w:rPr>
        <w:t xml:space="preserve">[Cluster Column Chart of Worldwide Distribution of Games Market Revenues]. (n.d.). Retrieved from </w:t>
      </w:r>
      <w:hyperlink r:id="rId12" w:history="1">
        <w:r w:rsidRPr="00E073E7">
          <w:rPr>
            <w:rStyle w:val="Hyperlink"/>
            <w:rFonts w:ascii="Times New Roman" w:hAnsi="Times New Roman" w:cs="Times New Roman"/>
            <w:sz w:val="20"/>
            <w:szCs w:val="20"/>
          </w:rPr>
          <w:t>https://www.wepc.com/news/video-game-statistics/</w:t>
        </w:r>
      </w:hyperlink>
    </w:p>
    <w:p w14:paraId="7E11794D" w14:textId="6E9FFA38" w:rsidR="004F3007" w:rsidRPr="003A0A70" w:rsidRDefault="004F3007" w:rsidP="00E073E7">
      <w:pPr>
        <w:spacing w:line="480" w:lineRule="auto"/>
        <w:ind w:firstLine="720"/>
        <w:contextualSpacing/>
        <w:rPr>
          <w:rFonts w:ascii="Times New Roman" w:hAnsi="Times New Roman" w:cs="Times New Roman"/>
          <w:sz w:val="24"/>
          <w:szCs w:val="24"/>
        </w:rPr>
      </w:pPr>
      <w:r w:rsidRPr="003A0A70">
        <w:rPr>
          <w:rFonts w:ascii="Times New Roman" w:hAnsi="Times New Roman" w:cs="Times New Roman"/>
          <w:sz w:val="24"/>
          <w:szCs w:val="24"/>
        </w:rPr>
        <w:t xml:space="preserve">The industry is seeing a major shift from upfront payment for content to a free-to-play model. </w:t>
      </w:r>
      <w:r w:rsidR="00772EC7">
        <w:rPr>
          <w:rFonts w:ascii="Times New Roman" w:hAnsi="Times New Roman" w:cs="Times New Roman"/>
          <w:sz w:val="24"/>
          <w:szCs w:val="24"/>
        </w:rPr>
        <w:t xml:space="preserve">The free-to-play model is when the game is sold for free and the consumer is charged for in game upgrades and game advancements. </w:t>
      </w:r>
      <w:r w:rsidRPr="003A0A70">
        <w:rPr>
          <w:rFonts w:ascii="Times New Roman" w:hAnsi="Times New Roman" w:cs="Times New Roman"/>
          <w:sz w:val="24"/>
          <w:szCs w:val="24"/>
        </w:rPr>
        <w:t>The free-to-play model has proven to be one of the most profitable types of video game models in the past five years with games like Fortnite generating $2.4 billion in revenue with over $1 billion being generated through the sale of in-game items.</w:t>
      </w:r>
    </w:p>
    <w:p w14:paraId="73EDAC90" w14:textId="65A174FA" w:rsidR="00C34C4A" w:rsidRPr="004B569D" w:rsidRDefault="00C34C4A" w:rsidP="00E073E7">
      <w:pPr>
        <w:pStyle w:val="Heading1"/>
        <w:contextualSpacing/>
        <w:jc w:val="center"/>
        <w:rPr>
          <w:rFonts w:ascii="Times New Roman" w:hAnsi="Times New Roman" w:cs="Times New Roman"/>
          <w:b/>
          <w:bCs/>
          <w:i/>
          <w:iCs/>
          <w:color w:val="auto"/>
          <w:sz w:val="28"/>
          <w:szCs w:val="28"/>
        </w:rPr>
      </w:pPr>
      <w:bookmarkStart w:id="4" w:name="_Financial_Ratios"/>
      <w:bookmarkEnd w:id="4"/>
      <w:r w:rsidRPr="00BD7C04">
        <w:rPr>
          <w:rFonts w:ascii="Times New Roman" w:hAnsi="Times New Roman" w:cs="Times New Roman"/>
          <w:b/>
          <w:bCs/>
          <w:color w:val="auto"/>
          <w:sz w:val="24"/>
          <w:szCs w:val="28"/>
        </w:rPr>
        <w:t>Financial</w:t>
      </w:r>
      <w:r w:rsidRPr="004B569D">
        <w:rPr>
          <w:rFonts w:ascii="Times New Roman" w:hAnsi="Times New Roman" w:cs="Times New Roman"/>
          <w:b/>
          <w:bCs/>
          <w:i/>
          <w:iCs/>
          <w:color w:val="auto"/>
          <w:sz w:val="28"/>
          <w:szCs w:val="28"/>
        </w:rPr>
        <w:t xml:space="preserve"> </w:t>
      </w:r>
      <w:r w:rsidRPr="00E073E7">
        <w:rPr>
          <w:rFonts w:ascii="Times New Roman" w:hAnsi="Times New Roman" w:cs="Times New Roman"/>
          <w:b/>
          <w:bCs/>
          <w:color w:val="auto"/>
          <w:sz w:val="28"/>
          <w:szCs w:val="28"/>
        </w:rPr>
        <w:t>Ratios</w:t>
      </w:r>
    </w:p>
    <w:p w14:paraId="6951D45B" w14:textId="77777777" w:rsidR="00422CE1" w:rsidRPr="003A0A70" w:rsidRDefault="004876FC" w:rsidP="0047120B">
      <w:pPr>
        <w:spacing w:line="480" w:lineRule="auto"/>
        <w:contextualSpacing/>
        <w:rPr>
          <w:rFonts w:ascii="Times New Roman" w:hAnsi="Times New Roman" w:cs="Times New Roman"/>
          <w:sz w:val="24"/>
          <w:szCs w:val="24"/>
        </w:rPr>
      </w:pPr>
      <w:r w:rsidRPr="00E073E7">
        <w:rPr>
          <w:rFonts w:ascii="Times New Roman" w:hAnsi="Times New Roman" w:cs="Times New Roman"/>
          <w:b/>
          <w:bCs/>
          <w:sz w:val="24"/>
          <w:szCs w:val="24"/>
        </w:rPr>
        <w:t>Liquidity</w:t>
      </w:r>
      <w:r w:rsidRPr="003A0A70">
        <w:rPr>
          <w:rFonts w:ascii="Times New Roman" w:hAnsi="Times New Roman" w:cs="Times New Roman"/>
          <w:b/>
          <w:bCs/>
          <w:i/>
          <w:iCs/>
          <w:sz w:val="24"/>
          <w:szCs w:val="24"/>
        </w:rPr>
        <w:t xml:space="preserve"> </w:t>
      </w:r>
      <w:r w:rsidRPr="00E073E7">
        <w:rPr>
          <w:rFonts w:ascii="Times New Roman" w:hAnsi="Times New Roman" w:cs="Times New Roman"/>
          <w:b/>
          <w:bCs/>
          <w:sz w:val="24"/>
          <w:szCs w:val="24"/>
        </w:rPr>
        <w:t>Ratios</w:t>
      </w:r>
    </w:p>
    <w:p w14:paraId="034CA398" w14:textId="18751D10" w:rsidR="00C34C4A" w:rsidRPr="003A0A70" w:rsidRDefault="00C34C4A" w:rsidP="00422CE1">
      <w:pPr>
        <w:spacing w:line="480" w:lineRule="auto"/>
        <w:ind w:firstLine="720"/>
        <w:contextualSpacing/>
        <w:rPr>
          <w:rFonts w:ascii="Times New Roman" w:hAnsi="Times New Roman" w:cs="Times New Roman"/>
          <w:sz w:val="24"/>
          <w:szCs w:val="24"/>
        </w:rPr>
      </w:pPr>
      <w:r w:rsidRPr="003A0A70">
        <w:rPr>
          <w:rFonts w:ascii="Times New Roman" w:hAnsi="Times New Roman" w:cs="Times New Roman"/>
          <w:sz w:val="24"/>
          <w:szCs w:val="24"/>
        </w:rPr>
        <w:t xml:space="preserve">Liquidity Ratios measure a firm’s ability to pay for its current debt obligations when they become due using the firm’s capital. A firm must be able to cover its current debt </w:t>
      </w:r>
      <w:r w:rsidR="00754799" w:rsidRPr="003A0A70">
        <w:rPr>
          <w:rFonts w:ascii="Times New Roman" w:hAnsi="Times New Roman" w:cs="Times New Roman"/>
          <w:sz w:val="24"/>
          <w:szCs w:val="24"/>
        </w:rPr>
        <w:t xml:space="preserve">obligations and </w:t>
      </w:r>
      <w:r w:rsidR="00754799" w:rsidRPr="003A0A70">
        <w:rPr>
          <w:rFonts w:ascii="Times New Roman" w:hAnsi="Times New Roman" w:cs="Times New Roman"/>
          <w:sz w:val="24"/>
          <w:szCs w:val="24"/>
        </w:rPr>
        <w:lastRenderedPageBreak/>
        <w:t>the greater the firm’s liquidity ratios the better.</w:t>
      </w:r>
      <w:r w:rsidR="009269CC" w:rsidRPr="003A0A70">
        <w:rPr>
          <w:rFonts w:ascii="Times New Roman" w:hAnsi="Times New Roman" w:cs="Times New Roman"/>
          <w:sz w:val="24"/>
          <w:szCs w:val="24"/>
        </w:rPr>
        <w:t xml:space="preserve"> </w:t>
      </w:r>
      <w:r w:rsidR="00772EC7">
        <w:rPr>
          <w:rFonts w:ascii="Times New Roman" w:hAnsi="Times New Roman" w:cs="Times New Roman"/>
          <w:sz w:val="24"/>
          <w:szCs w:val="24"/>
        </w:rPr>
        <w:t xml:space="preserve">However, if the company’s liquidity ratio is too high compared to </w:t>
      </w:r>
      <w:r w:rsidR="0072479D">
        <w:rPr>
          <w:rFonts w:ascii="Times New Roman" w:hAnsi="Times New Roman" w:cs="Times New Roman"/>
          <w:sz w:val="24"/>
          <w:szCs w:val="24"/>
        </w:rPr>
        <w:t xml:space="preserve">the </w:t>
      </w:r>
      <w:r w:rsidR="00772EC7">
        <w:rPr>
          <w:rFonts w:ascii="Times New Roman" w:hAnsi="Times New Roman" w:cs="Times New Roman"/>
          <w:sz w:val="24"/>
          <w:szCs w:val="24"/>
        </w:rPr>
        <w:t xml:space="preserve">industry average, it may indicate inefficiency as the company could have invested these monies and earn interest. </w:t>
      </w:r>
      <w:r w:rsidR="009269CC" w:rsidRPr="003A0A70">
        <w:rPr>
          <w:rFonts w:ascii="Times New Roman" w:hAnsi="Times New Roman" w:cs="Times New Roman"/>
          <w:sz w:val="24"/>
          <w:szCs w:val="24"/>
        </w:rPr>
        <w:t>Below are two charts displaying the liquidity ratios of both Electronic Arts and Activision Blizzard.</w:t>
      </w:r>
    </w:p>
    <w:p w14:paraId="2E2CBB36" w14:textId="77777777" w:rsidR="009A4660" w:rsidRPr="003A0A70" w:rsidRDefault="00552A5B" w:rsidP="00CC29D8">
      <w:pPr>
        <w:rPr>
          <w:rFonts w:ascii="Times New Roman" w:hAnsi="Times New Roman" w:cs="Times New Roman"/>
          <w:sz w:val="24"/>
          <w:szCs w:val="24"/>
        </w:rPr>
      </w:pPr>
      <w:r w:rsidRPr="003A0A70">
        <w:rPr>
          <w:rFonts w:ascii="Times New Roman" w:hAnsi="Times New Roman" w:cs="Times New Roman"/>
          <w:noProof/>
          <w:sz w:val="24"/>
          <w:szCs w:val="24"/>
        </w:rPr>
        <w:drawing>
          <wp:inline distT="0" distB="0" distL="0" distR="0" wp14:anchorId="616AD2E4" wp14:editId="49268086">
            <wp:extent cx="5943600" cy="2094614"/>
            <wp:effectExtent l="0" t="0" r="0" b="127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16DAEB" w14:textId="77777777" w:rsidR="009A4660" w:rsidRPr="003A0A70" w:rsidRDefault="00D24F15" w:rsidP="00422CE1">
      <w:pPr>
        <w:rPr>
          <w:rFonts w:ascii="Times New Roman" w:hAnsi="Times New Roman" w:cs="Times New Roman"/>
          <w:sz w:val="24"/>
          <w:szCs w:val="24"/>
        </w:rPr>
      </w:pPr>
      <w:r w:rsidRPr="003A0A70">
        <w:rPr>
          <w:rFonts w:ascii="Times New Roman" w:hAnsi="Times New Roman" w:cs="Times New Roman"/>
          <w:noProof/>
          <w:sz w:val="24"/>
          <w:szCs w:val="24"/>
        </w:rPr>
        <w:drawing>
          <wp:inline distT="0" distB="0" distL="0" distR="0" wp14:anchorId="00E0BA97" wp14:editId="36049028">
            <wp:extent cx="5943600" cy="2094614"/>
            <wp:effectExtent l="0" t="0" r="0" b="127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AEF11D" w14:textId="38862A27" w:rsidR="007F5A7D" w:rsidRPr="00BD7C04" w:rsidRDefault="004F3007" w:rsidP="00BD7C04">
      <w:pPr>
        <w:spacing w:line="480" w:lineRule="auto"/>
        <w:ind w:firstLine="720"/>
        <w:contextualSpacing/>
        <w:rPr>
          <w:rFonts w:ascii="Times New Roman" w:hAnsi="Times New Roman" w:cs="Times New Roman"/>
          <w:b/>
          <w:bCs/>
          <w:color w:val="212529"/>
          <w:sz w:val="24"/>
          <w:szCs w:val="24"/>
          <w:shd w:val="clear" w:color="auto" w:fill="FFFFFF"/>
        </w:rPr>
      </w:pPr>
      <w:r w:rsidRPr="00E073E7">
        <w:rPr>
          <w:rFonts w:ascii="Times New Roman" w:hAnsi="Times New Roman" w:cs="Times New Roman"/>
          <w:b/>
          <w:bCs/>
          <w:color w:val="212529"/>
          <w:sz w:val="24"/>
          <w:szCs w:val="24"/>
          <w:shd w:val="clear" w:color="auto" w:fill="FFFFFF"/>
        </w:rPr>
        <w:t xml:space="preserve">Trend </w:t>
      </w:r>
      <w:r w:rsidR="00BD7C04">
        <w:rPr>
          <w:rFonts w:ascii="Times New Roman" w:hAnsi="Times New Roman" w:cs="Times New Roman"/>
          <w:b/>
          <w:bCs/>
          <w:color w:val="212529"/>
          <w:sz w:val="24"/>
          <w:szCs w:val="24"/>
          <w:shd w:val="clear" w:color="auto" w:fill="FFFFFF"/>
        </w:rPr>
        <w:t xml:space="preserve">Analysis. </w:t>
      </w:r>
      <w:r w:rsidRPr="003A0A70">
        <w:rPr>
          <w:rFonts w:ascii="Times New Roman" w:hAnsi="Times New Roman" w:cs="Times New Roman"/>
          <w:color w:val="212529"/>
          <w:sz w:val="24"/>
          <w:szCs w:val="24"/>
          <w:shd w:val="clear" w:color="auto" w:fill="FFFFFF"/>
        </w:rPr>
        <w:t>EA’s current ratio is objectively good. It has increased steadily from year to year, from 1.35 in 2015 to 2.82 in 2019, and is greater than industry averages. EA has changed its business structure to eliminate inventory entirely, therefore, making their quick ratio almost equivalent to its current ratio. This means that even with inventory, the least liquid current asset, EA can</w:t>
      </w:r>
      <w:r w:rsidR="0072479D">
        <w:rPr>
          <w:rFonts w:ascii="Times New Roman" w:hAnsi="Times New Roman" w:cs="Times New Roman"/>
          <w:color w:val="212529"/>
          <w:sz w:val="24"/>
          <w:szCs w:val="24"/>
          <w:shd w:val="clear" w:color="auto" w:fill="FFFFFF"/>
        </w:rPr>
        <w:t xml:space="preserve"> still cover its short-term obligations</w:t>
      </w:r>
      <w:r w:rsidRPr="003A0A70">
        <w:rPr>
          <w:rFonts w:ascii="Times New Roman" w:hAnsi="Times New Roman" w:cs="Times New Roman"/>
          <w:color w:val="212529"/>
          <w:sz w:val="24"/>
          <w:szCs w:val="24"/>
          <w:shd w:val="clear" w:color="auto" w:fill="FFFFFF"/>
        </w:rPr>
        <w:t xml:space="preserve">. Moreover, even with cash alone, EA can cover its current liabilities, which is extremely good. EA’s cash ratio has increased year on year from 0.70 in 2015 to 1.99 in 1.99 and most of its current assets are cash. </w:t>
      </w:r>
    </w:p>
    <w:p w14:paraId="1C3D1803" w14:textId="1429E272" w:rsidR="007F5A7D" w:rsidRPr="003A0A70" w:rsidRDefault="004F3007" w:rsidP="007F5A7D">
      <w:pPr>
        <w:spacing w:line="480" w:lineRule="auto"/>
        <w:ind w:firstLine="720"/>
        <w:contextualSpacing/>
        <w:rPr>
          <w:rFonts w:ascii="Times New Roman" w:hAnsi="Times New Roman" w:cs="Times New Roman"/>
          <w:color w:val="212529"/>
          <w:sz w:val="24"/>
          <w:szCs w:val="24"/>
          <w:shd w:val="clear" w:color="auto" w:fill="FFFFFF"/>
        </w:rPr>
      </w:pPr>
      <w:r w:rsidRPr="003A0A70">
        <w:rPr>
          <w:rFonts w:ascii="Times New Roman" w:hAnsi="Times New Roman" w:cs="Times New Roman"/>
          <w:color w:val="212529"/>
          <w:sz w:val="24"/>
          <w:szCs w:val="24"/>
          <w:shd w:val="clear" w:color="auto" w:fill="FFFFFF"/>
        </w:rPr>
        <w:lastRenderedPageBreak/>
        <w:t>Activision Blizzard’s current ratio is good. It has increased year on year f</w:t>
      </w:r>
      <w:r w:rsidR="0072479D">
        <w:rPr>
          <w:rFonts w:ascii="Times New Roman" w:hAnsi="Times New Roman" w:cs="Times New Roman"/>
          <w:color w:val="212529"/>
          <w:sz w:val="24"/>
          <w:szCs w:val="24"/>
          <w:shd w:val="clear" w:color="auto" w:fill="FFFFFF"/>
        </w:rPr>
        <w:t>rom 1.30 in 2015 to 2.50 in 2019</w:t>
      </w:r>
      <w:r w:rsidRPr="003A0A70">
        <w:rPr>
          <w:rFonts w:ascii="Times New Roman" w:hAnsi="Times New Roman" w:cs="Times New Roman"/>
          <w:color w:val="212529"/>
          <w:sz w:val="24"/>
          <w:szCs w:val="24"/>
          <w:shd w:val="clear" w:color="auto" w:fill="FFFFFF"/>
        </w:rPr>
        <w:t xml:space="preserve">. Activision Blizzard </w:t>
      </w:r>
      <w:r w:rsidR="0072479D">
        <w:rPr>
          <w:rFonts w:ascii="Times New Roman" w:hAnsi="Times New Roman" w:cs="Times New Roman"/>
          <w:color w:val="212529"/>
          <w:sz w:val="24"/>
          <w:szCs w:val="24"/>
          <w:shd w:val="clear" w:color="auto" w:fill="FFFFFF"/>
        </w:rPr>
        <w:t xml:space="preserve">inventory counts for an extremely small part of their current assets. </w:t>
      </w:r>
      <w:r w:rsidRPr="003A0A70">
        <w:rPr>
          <w:rFonts w:ascii="Times New Roman" w:hAnsi="Times New Roman" w:cs="Times New Roman"/>
          <w:color w:val="212529"/>
          <w:sz w:val="24"/>
          <w:szCs w:val="24"/>
          <w:shd w:val="clear" w:color="auto" w:fill="FFFFFF"/>
        </w:rPr>
        <w:t>This has led to their current ratio and quic</w:t>
      </w:r>
      <w:r w:rsidR="0072479D">
        <w:rPr>
          <w:rFonts w:ascii="Times New Roman" w:hAnsi="Times New Roman" w:cs="Times New Roman"/>
          <w:color w:val="212529"/>
          <w:sz w:val="24"/>
          <w:szCs w:val="24"/>
          <w:shd w:val="clear" w:color="auto" w:fill="FFFFFF"/>
        </w:rPr>
        <w:t xml:space="preserve">k ratio being almost identical. </w:t>
      </w:r>
      <w:r w:rsidRPr="003A0A70">
        <w:rPr>
          <w:rFonts w:ascii="Times New Roman" w:hAnsi="Times New Roman" w:cs="Times New Roman"/>
          <w:color w:val="212529"/>
          <w:sz w:val="24"/>
          <w:szCs w:val="24"/>
          <w:shd w:val="clear" w:color="auto" w:fill="FFFFFF"/>
        </w:rPr>
        <w:t xml:space="preserve">Moreover, Activision Blizzard’s cash ratio has also increased year on year and is close to their current and quick ratio meaning that cash is their main current asset. </w:t>
      </w:r>
    </w:p>
    <w:p w14:paraId="092AE73D" w14:textId="634C17F6" w:rsidR="007F5A7D" w:rsidRPr="00BD7C04" w:rsidRDefault="004F3007" w:rsidP="00BD7C04">
      <w:pPr>
        <w:spacing w:line="480" w:lineRule="auto"/>
        <w:ind w:firstLine="720"/>
        <w:contextualSpacing/>
        <w:rPr>
          <w:rFonts w:ascii="Times New Roman" w:hAnsi="Times New Roman" w:cs="Times New Roman"/>
          <w:b/>
          <w:bCs/>
          <w:color w:val="212529"/>
          <w:sz w:val="24"/>
          <w:szCs w:val="24"/>
          <w:shd w:val="clear" w:color="auto" w:fill="FFFFFF"/>
        </w:rPr>
      </w:pPr>
      <w:r w:rsidRPr="00E073E7">
        <w:rPr>
          <w:rFonts w:ascii="Times New Roman" w:hAnsi="Times New Roman" w:cs="Times New Roman"/>
          <w:b/>
          <w:bCs/>
          <w:color w:val="212529"/>
          <w:sz w:val="24"/>
          <w:szCs w:val="24"/>
          <w:shd w:val="clear" w:color="auto" w:fill="FFFFFF"/>
        </w:rPr>
        <w:t>Cross Sectional Analysis</w:t>
      </w:r>
      <w:r w:rsidR="00BD7C04">
        <w:rPr>
          <w:rStyle w:val="CommentReference"/>
        </w:rPr>
        <w:t xml:space="preserve">. </w:t>
      </w:r>
      <w:r w:rsidR="00BD7C04">
        <w:rPr>
          <w:rStyle w:val="CommentReference"/>
          <w:rFonts w:ascii="Times New Roman" w:hAnsi="Times New Roman" w:cs="Times New Roman"/>
          <w:sz w:val="24"/>
        </w:rPr>
        <w:t>T</w:t>
      </w:r>
      <w:r w:rsidRPr="003A0A70">
        <w:rPr>
          <w:rFonts w:ascii="Times New Roman" w:hAnsi="Times New Roman" w:cs="Times New Roman"/>
          <w:color w:val="212529"/>
          <w:sz w:val="24"/>
          <w:szCs w:val="24"/>
          <w:shd w:val="clear" w:color="auto" w:fill="FFFFFF"/>
        </w:rPr>
        <w:t xml:space="preserve">he two companies in comparison have similar liquidity ratios. But EA has greater liquidity ratios than Activision Blizzard. Compared with industry averages, EA’s and Activision Blizzard’s current ratio are 59.33% and 41.24% above industry average respectively. Also, EA’s and Activision Billiard’s quick ratios are 52.43% and 34.59% greater than the industry average respectively. </w:t>
      </w:r>
      <w:r w:rsidR="00E073E7">
        <w:rPr>
          <w:rFonts w:ascii="Times New Roman" w:hAnsi="Times New Roman" w:cs="Times New Roman"/>
          <w:color w:val="212529"/>
          <w:sz w:val="24"/>
          <w:szCs w:val="24"/>
          <w:shd w:val="clear" w:color="auto" w:fill="FFFFFF"/>
        </w:rPr>
        <w:t>This mean</w:t>
      </w:r>
      <w:r w:rsidR="0072479D">
        <w:rPr>
          <w:rFonts w:ascii="Times New Roman" w:hAnsi="Times New Roman" w:cs="Times New Roman"/>
          <w:color w:val="212529"/>
          <w:sz w:val="24"/>
          <w:szCs w:val="24"/>
          <w:shd w:val="clear" w:color="auto" w:fill="FFFFFF"/>
        </w:rPr>
        <w:t>s</w:t>
      </w:r>
      <w:r w:rsidR="00E073E7">
        <w:rPr>
          <w:rFonts w:ascii="Times New Roman" w:hAnsi="Times New Roman" w:cs="Times New Roman"/>
          <w:color w:val="212529"/>
          <w:sz w:val="24"/>
          <w:szCs w:val="24"/>
          <w:shd w:val="clear" w:color="auto" w:fill="FFFFFF"/>
        </w:rPr>
        <w:t xml:space="preserve"> that both companies are in a better liquidity position compared to other companies in the industry</w:t>
      </w:r>
      <w:r w:rsidR="0072479D">
        <w:rPr>
          <w:rFonts w:ascii="Times New Roman" w:hAnsi="Times New Roman" w:cs="Times New Roman"/>
          <w:color w:val="212529"/>
          <w:sz w:val="24"/>
          <w:szCs w:val="24"/>
          <w:shd w:val="clear" w:color="auto" w:fill="FFFFFF"/>
        </w:rPr>
        <w:t>. However, EA and ATVI could use some of their excess cash to reinvest in the business or other investment to generate revenue.</w:t>
      </w:r>
    </w:p>
    <w:p w14:paraId="673044C8" w14:textId="77777777" w:rsidR="007F5A7D" w:rsidRPr="004B569D" w:rsidRDefault="004F3007" w:rsidP="004B569D">
      <w:pPr>
        <w:spacing w:line="480" w:lineRule="auto"/>
        <w:contextualSpacing/>
        <w:rPr>
          <w:rFonts w:ascii="Times New Roman" w:hAnsi="Times New Roman" w:cs="Times New Roman"/>
          <w:b/>
          <w:bCs/>
          <w:color w:val="212529"/>
          <w:sz w:val="24"/>
          <w:szCs w:val="24"/>
          <w:shd w:val="clear" w:color="auto" w:fill="FFFFFF"/>
        </w:rPr>
      </w:pPr>
      <w:r w:rsidRPr="004B569D">
        <w:rPr>
          <w:rFonts w:ascii="Times New Roman" w:hAnsi="Times New Roman" w:cs="Times New Roman"/>
          <w:b/>
          <w:bCs/>
          <w:color w:val="212529"/>
          <w:sz w:val="24"/>
          <w:szCs w:val="24"/>
          <w:shd w:val="clear" w:color="auto" w:fill="FFFFFF"/>
        </w:rPr>
        <w:t xml:space="preserve">Profitability Ratios </w:t>
      </w:r>
    </w:p>
    <w:p w14:paraId="7E2F2990" w14:textId="5C8A9FD6" w:rsidR="00E073E7" w:rsidRPr="008D2EBD" w:rsidRDefault="004F3007" w:rsidP="008D2EBD">
      <w:pPr>
        <w:spacing w:line="480" w:lineRule="auto"/>
        <w:ind w:firstLine="720"/>
        <w:contextualSpacing/>
        <w:rPr>
          <w:rFonts w:ascii="Times New Roman" w:hAnsi="Times New Roman" w:cs="Times New Roman"/>
          <w:color w:val="212529"/>
          <w:sz w:val="24"/>
          <w:szCs w:val="24"/>
          <w:shd w:val="clear" w:color="auto" w:fill="FFFFFF"/>
        </w:rPr>
      </w:pPr>
      <w:r w:rsidRPr="003A0A70">
        <w:rPr>
          <w:rFonts w:ascii="Times New Roman" w:hAnsi="Times New Roman" w:cs="Times New Roman"/>
          <w:color w:val="212529"/>
          <w:sz w:val="24"/>
          <w:szCs w:val="24"/>
          <w:shd w:val="clear" w:color="auto" w:fill="FFFFFF"/>
        </w:rPr>
        <w:t>Profitability ratios are used to assess a firm’s ability to generate earnings. High profitability ratios indicate a company is doing well</w:t>
      </w:r>
      <w:r w:rsidR="0072479D">
        <w:rPr>
          <w:rFonts w:ascii="Times New Roman" w:hAnsi="Times New Roman" w:cs="Times New Roman"/>
          <w:color w:val="212529"/>
          <w:sz w:val="24"/>
          <w:szCs w:val="24"/>
          <w:shd w:val="clear" w:color="auto" w:fill="FFFFFF"/>
        </w:rPr>
        <w:t>. These ratios are</w:t>
      </w:r>
      <w:r w:rsidRPr="003A0A70">
        <w:rPr>
          <w:rFonts w:ascii="Times New Roman" w:hAnsi="Times New Roman" w:cs="Times New Roman"/>
          <w:color w:val="212529"/>
          <w:sz w:val="24"/>
          <w:szCs w:val="24"/>
          <w:shd w:val="clear" w:color="auto" w:fill="FFFFFF"/>
        </w:rPr>
        <w:t xml:space="preserve"> looked at by creditors, owners, and investors</w:t>
      </w:r>
      <w:r w:rsidR="0072479D">
        <w:rPr>
          <w:rFonts w:ascii="Times New Roman" w:hAnsi="Times New Roman" w:cs="Times New Roman"/>
          <w:color w:val="212529"/>
          <w:sz w:val="24"/>
          <w:szCs w:val="24"/>
          <w:shd w:val="clear" w:color="auto" w:fill="FFFFFF"/>
        </w:rPr>
        <w:t xml:space="preserve"> to make financial decisions about the business</w:t>
      </w:r>
      <w:r w:rsidRPr="003A0A70">
        <w:rPr>
          <w:rFonts w:ascii="Times New Roman" w:hAnsi="Times New Roman" w:cs="Times New Roman"/>
          <w:color w:val="212529"/>
          <w:sz w:val="24"/>
          <w:szCs w:val="24"/>
          <w:shd w:val="clear" w:color="auto" w:fill="FFFFFF"/>
        </w:rPr>
        <w:t>. Below are two charts that show the profitability ratios of both EA and Activision Blizzard.</w:t>
      </w:r>
    </w:p>
    <w:tbl>
      <w:tblPr>
        <w:tblW w:w="9360" w:type="dxa"/>
        <w:tblLook w:val="04A0" w:firstRow="1" w:lastRow="0" w:firstColumn="1" w:lastColumn="0" w:noHBand="0" w:noVBand="1"/>
      </w:tblPr>
      <w:tblGrid>
        <w:gridCol w:w="2430"/>
        <w:gridCol w:w="990"/>
        <w:gridCol w:w="990"/>
        <w:gridCol w:w="990"/>
        <w:gridCol w:w="1080"/>
        <w:gridCol w:w="990"/>
        <w:gridCol w:w="1890"/>
      </w:tblGrid>
      <w:tr w:rsidR="00A45B00" w:rsidRPr="003A0A70" w14:paraId="2334DE8F" w14:textId="77777777" w:rsidTr="008D2EBD">
        <w:trPr>
          <w:trHeight w:val="270"/>
        </w:trPr>
        <w:tc>
          <w:tcPr>
            <w:tcW w:w="9360" w:type="dxa"/>
            <w:gridSpan w:val="7"/>
            <w:tcBorders>
              <w:top w:val="nil"/>
              <w:left w:val="nil"/>
              <w:bottom w:val="single" w:sz="12" w:space="0" w:color="4472C4"/>
              <w:right w:val="nil"/>
            </w:tcBorders>
            <w:shd w:val="clear" w:color="000000" w:fill="8EA9DB"/>
            <w:noWrap/>
            <w:vAlign w:val="bottom"/>
            <w:hideMark/>
          </w:tcPr>
          <w:p w14:paraId="1B6F985D" w14:textId="77777777" w:rsidR="00A45B00" w:rsidRPr="003A0A70" w:rsidRDefault="00A45B00" w:rsidP="00A45B00">
            <w:pPr>
              <w:spacing w:after="0" w:line="240" w:lineRule="auto"/>
              <w:jc w:val="center"/>
              <w:rPr>
                <w:rFonts w:ascii="Times New Roman" w:eastAsia="Times New Roman" w:hAnsi="Times New Roman" w:cs="Times New Roman"/>
                <w:b/>
                <w:bCs/>
                <w:color w:val="44546A"/>
                <w:sz w:val="24"/>
                <w:szCs w:val="24"/>
              </w:rPr>
            </w:pPr>
            <w:r w:rsidRPr="003A0A70">
              <w:rPr>
                <w:rFonts w:ascii="Times New Roman" w:eastAsia="Times New Roman" w:hAnsi="Times New Roman" w:cs="Times New Roman"/>
                <w:b/>
                <w:bCs/>
                <w:color w:val="44546A"/>
                <w:sz w:val="24"/>
                <w:szCs w:val="24"/>
              </w:rPr>
              <w:t>Electronic Arts - Profitability Ratios</w:t>
            </w:r>
          </w:p>
        </w:tc>
      </w:tr>
      <w:tr w:rsidR="005E47CB" w:rsidRPr="003A0A70" w14:paraId="328BB0AB" w14:textId="77777777" w:rsidTr="00581D82">
        <w:trPr>
          <w:trHeight w:val="315"/>
        </w:trPr>
        <w:tc>
          <w:tcPr>
            <w:tcW w:w="2430" w:type="dxa"/>
            <w:tcBorders>
              <w:top w:val="single" w:sz="4" w:space="0" w:color="8EA9DB"/>
              <w:left w:val="single" w:sz="4" w:space="0" w:color="8EA9DB"/>
              <w:bottom w:val="single" w:sz="4" w:space="0" w:color="8EA9DB"/>
              <w:right w:val="nil"/>
            </w:tcBorders>
            <w:shd w:val="clear" w:color="4472C4" w:fill="4472C4"/>
            <w:noWrap/>
            <w:vAlign w:val="bottom"/>
            <w:hideMark/>
          </w:tcPr>
          <w:p w14:paraId="3E4AE552" w14:textId="77777777" w:rsidR="00A45B00" w:rsidRPr="003A0A70" w:rsidRDefault="00A45B00" w:rsidP="00A45B00">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 </w:t>
            </w:r>
          </w:p>
        </w:tc>
        <w:tc>
          <w:tcPr>
            <w:tcW w:w="990" w:type="dxa"/>
            <w:tcBorders>
              <w:top w:val="single" w:sz="12" w:space="0" w:color="4472C4"/>
              <w:left w:val="single" w:sz="4" w:space="0" w:color="8EA9DB"/>
              <w:bottom w:val="single" w:sz="4" w:space="0" w:color="8EA9DB"/>
              <w:right w:val="nil"/>
            </w:tcBorders>
            <w:shd w:val="clear" w:color="4472C4" w:fill="4472C4"/>
            <w:noWrap/>
            <w:vAlign w:val="bottom"/>
            <w:hideMark/>
          </w:tcPr>
          <w:p w14:paraId="5A4C5EAB" w14:textId="77777777" w:rsidR="00A45B00" w:rsidRPr="003A0A70" w:rsidRDefault="00A45B00" w:rsidP="005E47CB">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2019</w:t>
            </w:r>
          </w:p>
        </w:tc>
        <w:tc>
          <w:tcPr>
            <w:tcW w:w="990" w:type="dxa"/>
            <w:tcBorders>
              <w:top w:val="single" w:sz="12" w:space="0" w:color="4472C4"/>
              <w:left w:val="nil"/>
              <w:bottom w:val="single" w:sz="4" w:space="0" w:color="8EA9DB"/>
              <w:right w:val="nil"/>
            </w:tcBorders>
            <w:shd w:val="clear" w:color="4472C4" w:fill="4472C4"/>
            <w:noWrap/>
            <w:vAlign w:val="bottom"/>
            <w:hideMark/>
          </w:tcPr>
          <w:p w14:paraId="3ED8A4D5" w14:textId="77777777" w:rsidR="00A45B00" w:rsidRPr="003A0A70" w:rsidRDefault="00A45B00" w:rsidP="005E47CB">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2018</w:t>
            </w:r>
          </w:p>
        </w:tc>
        <w:tc>
          <w:tcPr>
            <w:tcW w:w="990" w:type="dxa"/>
            <w:tcBorders>
              <w:top w:val="single" w:sz="12" w:space="0" w:color="4472C4"/>
              <w:left w:val="nil"/>
              <w:bottom w:val="single" w:sz="4" w:space="0" w:color="8EA9DB"/>
              <w:right w:val="nil"/>
            </w:tcBorders>
            <w:shd w:val="clear" w:color="4472C4" w:fill="4472C4"/>
            <w:noWrap/>
            <w:vAlign w:val="bottom"/>
            <w:hideMark/>
          </w:tcPr>
          <w:p w14:paraId="183849A3" w14:textId="77777777" w:rsidR="00A45B00" w:rsidRPr="003A0A70" w:rsidRDefault="00A45B00" w:rsidP="005E47CB">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2017</w:t>
            </w:r>
          </w:p>
        </w:tc>
        <w:tc>
          <w:tcPr>
            <w:tcW w:w="1080" w:type="dxa"/>
            <w:tcBorders>
              <w:top w:val="single" w:sz="12" w:space="0" w:color="4472C4"/>
              <w:left w:val="nil"/>
              <w:bottom w:val="single" w:sz="4" w:space="0" w:color="8EA9DB"/>
              <w:right w:val="nil"/>
            </w:tcBorders>
            <w:shd w:val="clear" w:color="4472C4" w:fill="4472C4"/>
            <w:noWrap/>
            <w:vAlign w:val="bottom"/>
            <w:hideMark/>
          </w:tcPr>
          <w:p w14:paraId="426DA5EA" w14:textId="77777777" w:rsidR="00A45B00" w:rsidRPr="003A0A70" w:rsidRDefault="00A45B00" w:rsidP="005E47CB">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2016</w:t>
            </w:r>
          </w:p>
        </w:tc>
        <w:tc>
          <w:tcPr>
            <w:tcW w:w="990" w:type="dxa"/>
            <w:tcBorders>
              <w:top w:val="single" w:sz="12" w:space="0" w:color="4472C4"/>
              <w:left w:val="nil"/>
              <w:bottom w:val="single" w:sz="4" w:space="0" w:color="8EA9DB"/>
              <w:right w:val="nil"/>
            </w:tcBorders>
            <w:shd w:val="clear" w:color="4472C4" w:fill="4472C4"/>
            <w:noWrap/>
            <w:vAlign w:val="bottom"/>
            <w:hideMark/>
          </w:tcPr>
          <w:p w14:paraId="0382E897" w14:textId="77777777" w:rsidR="00A45B00" w:rsidRPr="003A0A70" w:rsidRDefault="00A45B00" w:rsidP="005E47CB">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2015</w:t>
            </w:r>
          </w:p>
        </w:tc>
        <w:tc>
          <w:tcPr>
            <w:tcW w:w="1890" w:type="dxa"/>
            <w:tcBorders>
              <w:top w:val="single" w:sz="12" w:space="0" w:color="4472C4"/>
              <w:left w:val="nil"/>
              <w:bottom w:val="single" w:sz="4" w:space="0" w:color="8EA9DB"/>
              <w:right w:val="single" w:sz="4" w:space="0" w:color="8EA9DB"/>
            </w:tcBorders>
            <w:shd w:val="clear" w:color="4472C4" w:fill="4472C4"/>
            <w:noWrap/>
            <w:vAlign w:val="bottom"/>
            <w:hideMark/>
          </w:tcPr>
          <w:p w14:paraId="50218F85" w14:textId="77777777" w:rsidR="00A45B00" w:rsidRPr="003A0A70" w:rsidRDefault="00A45B00" w:rsidP="005E47CB">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Industry Average</w:t>
            </w:r>
          </w:p>
        </w:tc>
      </w:tr>
      <w:tr w:rsidR="005E47CB" w:rsidRPr="003A0A70" w14:paraId="33EF8CE3" w14:textId="77777777" w:rsidTr="00581D82">
        <w:trPr>
          <w:trHeight w:val="300"/>
        </w:trPr>
        <w:tc>
          <w:tcPr>
            <w:tcW w:w="2430" w:type="dxa"/>
            <w:tcBorders>
              <w:top w:val="nil"/>
              <w:left w:val="nil"/>
              <w:bottom w:val="nil"/>
              <w:right w:val="nil"/>
            </w:tcBorders>
            <w:shd w:val="clear" w:color="000000" w:fill="0070C0"/>
            <w:noWrap/>
            <w:vAlign w:val="bottom"/>
            <w:hideMark/>
          </w:tcPr>
          <w:p w14:paraId="3405514F" w14:textId="77777777" w:rsidR="00A45B00" w:rsidRPr="003A0A70" w:rsidRDefault="00A45B00" w:rsidP="00A45B00">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Gross Profit Margin</w:t>
            </w:r>
          </w:p>
        </w:tc>
        <w:tc>
          <w:tcPr>
            <w:tcW w:w="990" w:type="dxa"/>
            <w:tcBorders>
              <w:top w:val="single" w:sz="4" w:space="0" w:color="8EA9DB"/>
              <w:left w:val="single" w:sz="4" w:space="0" w:color="8EA9DB"/>
              <w:bottom w:val="single" w:sz="4" w:space="0" w:color="8EA9DB"/>
              <w:right w:val="nil"/>
            </w:tcBorders>
            <w:shd w:val="clear" w:color="D9E1F2" w:fill="D9E1F2"/>
            <w:noWrap/>
            <w:vAlign w:val="bottom"/>
            <w:hideMark/>
          </w:tcPr>
          <w:p w14:paraId="4B0D1E96"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73.29%</w:t>
            </w:r>
          </w:p>
        </w:tc>
        <w:tc>
          <w:tcPr>
            <w:tcW w:w="990" w:type="dxa"/>
            <w:tcBorders>
              <w:top w:val="single" w:sz="4" w:space="0" w:color="8EA9DB"/>
              <w:left w:val="nil"/>
              <w:bottom w:val="single" w:sz="4" w:space="0" w:color="8EA9DB"/>
              <w:right w:val="nil"/>
            </w:tcBorders>
            <w:shd w:val="clear" w:color="D9E1F2" w:fill="D9E1F2"/>
            <w:noWrap/>
            <w:vAlign w:val="bottom"/>
            <w:hideMark/>
          </w:tcPr>
          <w:p w14:paraId="515B46FE"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75.20%</w:t>
            </w:r>
          </w:p>
        </w:tc>
        <w:tc>
          <w:tcPr>
            <w:tcW w:w="990" w:type="dxa"/>
            <w:tcBorders>
              <w:top w:val="single" w:sz="4" w:space="0" w:color="8EA9DB"/>
              <w:left w:val="nil"/>
              <w:bottom w:val="single" w:sz="4" w:space="0" w:color="8EA9DB"/>
              <w:right w:val="nil"/>
            </w:tcBorders>
            <w:shd w:val="clear" w:color="D9E1F2" w:fill="D9E1F2"/>
            <w:noWrap/>
            <w:vAlign w:val="bottom"/>
            <w:hideMark/>
          </w:tcPr>
          <w:p w14:paraId="35BF6AB2"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73.21%</w:t>
            </w:r>
          </w:p>
        </w:tc>
        <w:tc>
          <w:tcPr>
            <w:tcW w:w="1080" w:type="dxa"/>
            <w:tcBorders>
              <w:top w:val="single" w:sz="4" w:space="0" w:color="8EA9DB"/>
              <w:left w:val="nil"/>
              <w:bottom w:val="single" w:sz="4" w:space="0" w:color="8EA9DB"/>
              <w:right w:val="nil"/>
            </w:tcBorders>
            <w:shd w:val="clear" w:color="D9E1F2" w:fill="D9E1F2"/>
            <w:noWrap/>
            <w:vAlign w:val="bottom"/>
            <w:hideMark/>
          </w:tcPr>
          <w:p w14:paraId="0B6D0223"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69.20%</w:t>
            </w:r>
          </w:p>
        </w:tc>
        <w:tc>
          <w:tcPr>
            <w:tcW w:w="990" w:type="dxa"/>
            <w:tcBorders>
              <w:top w:val="single" w:sz="4" w:space="0" w:color="8EA9DB"/>
              <w:left w:val="nil"/>
              <w:bottom w:val="single" w:sz="4" w:space="0" w:color="8EA9DB"/>
              <w:right w:val="nil"/>
            </w:tcBorders>
            <w:shd w:val="clear" w:color="D9E1F2" w:fill="D9E1F2"/>
            <w:noWrap/>
            <w:vAlign w:val="bottom"/>
            <w:hideMark/>
          </w:tcPr>
          <w:p w14:paraId="6FF7B986"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68.35%</w:t>
            </w:r>
          </w:p>
        </w:tc>
        <w:tc>
          <w:tcPr>
            <w:tcW w:w="1890" w:type="dxa"/>
            <w:tcBorders>
              <w:top w:val="single" w:sz="4" w:space="0" w:color="8EA9DB"/>
              <w:left w:val="nil"/>
              <w:bottom w:val="single" w:sz="4" w:space="0" w:color="8EA9DB"/>
              <w:right w:val="single" w:sz="4" w:space="0" w:color="8EA9DB"/>
            </w:tcBorders>
            <w:shd w:val="clear" w:color="D9E1F2" w:fill="D9E1F2"/>
            <w:noWrap/>
            <w:vAlign w:val="bottom"/>
            <w:hideMark/>
          </w:tcPr>
          <w:p w14:paraId="0D954E75"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49.68%</w:t>
            </w:r>
          </w:p>
        </w:tc>
      </w:tr>
      <w:tr w:rsidR="005E47CB" w:rsidRPr="003A0A70" w14:paraId="4A41E92B" w14:textId="77777777" w:rsidTr="00581D82">
        <w:trPr>
          <w:trHeight w:val="300"/>
        </w:trPr>
        <w:tc>
          <w:tcPr>
            <w:tcW w:w="2430" w:type="dxa"/>
            <w:tcBorders>
              <w:top w:val="nil"/>
              <w:left w:val="nil"/>
              <w:bottom w:val="nil"/>
              <w:right w:val="nil"/>
            </w:tcBorders>
            <w:shd w:val="clear" w:color="000000" w:fill="0070C0"/>
            <w:noWrap/>
            <w:vAlign w:val="bottom"/>
            <w:hideMark/>
          </w:tcPr>
          <w:p w14:paraId="07FCA4A7" w14:textId="77777777" w:rsidR="00A45B00" w:rsidRPr="003A0A70" w:rsidRDefault="00A45B00" w:rsidP="00A45B00">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Operating Profit Margin</w:t>
            </w:r>
          </w:p>
        </w:tc>
        <w:tc>
          <w:tcPr>
            <w:tcW w:w="990" w:type="dxa"/>
            <w:tcBorders>
              <w:top w:val="single" w:sz="4" w:space="0" w:color="8EA9DB"/>
              <w:left w:val="single" w:sz="4" w:space="0" w:color="8EA9DB"/>
              <w:bottom w:val="single" w:sz="4" w:space="0" w:color="8EA9DB"/>
              <w:right w:val="nil"/>
            </w:tcBorders>
            <w:shd w:val="clear" w:color="auto" w:fill="auto"/>
            <w:noWrap/>
            <w:vAlign w:val="bottom"/>
            <w:hideMark/>
          </w:tcPr>
          <w:p w14:paraId="02455963"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20.12%</w:t>
            </w:r>
          </w:p>
        </w:tc>
        <w:tc>
          <w:tcPr>
            <w:tcW w:w="990" w:type="dxa"/>
            <w:tcBorders>
              <w:top w:val="single" w:sz="4" w:space="0" w:color="8EA9DB"/>
              <w:left w:val="nil"/>
              <w:bottom w:val="single" w:sz="4" w:space="0" w:color="8EA9DB"/>
              <w:right w:val="nil"/>
            </w:tcBorders>
            <w:shd w:val="clear" w:color="auto" w:fill="auto"/>
            <w:noWrap/>
            <w:vAlign w:val="bottom"/>
            <w:hideMark/>
          </w:tcPr>
          <w:p w14:paraId="3982DFB7"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27.84%</w:t>
            </w:r>
          </w:p>
        </w:tc>
        <w:tc>
          <w:tcPr>
            <w:tcW w:w="990" w:type="dxa"/>
            <w:tcBorders>
              <w:top w:val="single" w:sz="4" w:space="0" w:color="8EA9DB"/>
              <w:left w:val="nil"/>
              <w:bottom w:val="single" w:sz="4" w:space="0" w:color="8EA9DB"/>
              <w:right w:val="nil"/>
            </w:tcBorders>
            <w:shd w:val="clear" w:color="auto" w:fill="auto"/>
            <w:noWrap/>
            <w:vAlign w:val="bottom"/>
            <w:hideMark/>
          </w:tcPr>
          <w:p w14:paraId="6CCD4486"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25.26%</w:t>
            </w:r>
          </w:p>
        </w:tc>
        <w:tc>
          <w:tcPr>
            <w:tcW w:w="1080" w:type="dxa"/>
            <w:tcBorders>
              <w:top w:val="single" w:sz="4" w:space="0" w:color="8EA9DB"/>
              <w:left w:val="nil"/>
              <w:bottom w:val="single" w:sz="4" w:space="0" w:color="8EA9DB"/>
              <w:right w:val="nil"/>
            </w:tcBorders>
            <w:shd w:val="clear" w:color="auto" w:fill="auto"/>
            <w:noWrap/>
            <w:vAlign w:val="bottom"/>
            <w:hideMark/>
          </w:tcPr>
          <w:p w14:paraId="19CABFBE"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20.43%</w:t>
            </w:r>
          </w:p>
        </w:tc>
        <w:tc>
          <w:tcPr>
            <w:tcW w:w="990" w:type="dxa"/>
            <w:tcBorders>
              <w:top w:val="single" w:sz="4" w:space="0" w:color="8EA9DB"/>
              <w:left w:val="nil"/>
              <w:bottom w:val="single" w:sz="4" w:space="0" w:color="8EA9DB"/>
              <w:right w:val="nil"/>
            </w:tcBorders>
            <w:shd w:val="clear" w:color="auto" w:fill="auto"/>
            <w:noWrap/>
            <w:vAlign w:val="bottom"/>
            <w:hideMark/>
          </w:tcPr>
          <w:p w14:paraId="122AA7A1"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21.00%</w:t>
            </w:r>
          </w:p>
        </w:tc>
        <w:tc>
          <w:tcPr>
            <w:tcW w:w="1890" w:type="dxa"/>
            <w:tcBorders>
              <w:top w:val="single" w:sz="4" w:space="0" w:color="8EA9DB"/>
              <w:left w:val="nil"/>
              <w:bottom w:val="single" w:sz="4" w:space="0" w:color="8EA9DB"/>
              <w:right w:val="single" w:sz="4" w:space="0" w:color="8EA9DB"/>
            </w:tcBorders>
            <w:shd w:val="clear" w:color="auto" w:fill="auto"/>
            <w:noWrap/>
            <w:vAlign w:val="bottom"/>
            <w:hideMark/>
          </w:tcPr>
          <w:p w14:paraId="096D8988"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13.85%</w:t>
            </w:r>
          </w:p>
        </w:tc>
      </w:tr>
      <w:tr w:rsidR="005E47CB" w:rsidRPr="003A0A70" w14:paraId="38E49A51" w14:textId="77777777" w:rsidTr="00581D82">
        <w:trPr>
          <w:trHeight w:val="300"/>
        </w:trPr>
        <w:tc>
          <w:tcPr>
            <w:tcW w:w="2430" w:type="dxa"/>
            <w:tcBorders>
              <w:top w:val="nil"/>
              <w:left w:val="nil"/>
              <w:bottom w:val="nil"/>
              <w:right w:val="nil"/>
            </w:tcBorders>
            <w:shd w:val="clear" w:color="000000" w:fill="0070C0"/>
            <w:noWrap/>
            <w:vAlign w:val="bottom"/>
            <w:hideMark/>
          </w:tcPr>
          <w:p w14:paraId="5D9AEA64" w14:textId="77777777" w:rsidR="00A45B00" w:rsidRPr="003A0A70" w:rsidRDefault="00A45B00" w:rsidP="00A45B00">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Net Profit Margin</w:t>
            </w:r>
          </w:p>
        </w:tc>
        <w:tc>
          <w:tcPr>
            <w:tcW w:w="990" w:type="dxa"/>
            <w:tcBorders>
              <w:top w:val="single" w:sz="4" w:space="0" w:color="8EA9DB"/>
              <w:left w:val="single" w:sz="4" w:space="0" w:color="8EA9DB"/>
              <w:bottom w:val="single" w:sz="4" w:space="0" w:color="8EA9DB"/>
              <w:right w:val="nil"/>
            </w:tcBorders>
            <w:shd w:val="clear" w:color="D9E1F2" w:fill="D9E1F2"/>
            <w:noWrap/>
            <w:vAlign w:val="bottom"/>
            <w:hideMark/>
          </w:tcPr>
          <w:p w14:paraId="1B1EDB04"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20.59%</w:t>
            </w:r>
          </w:p>
        </w:tc>
        <w:tc>
          <w:tcPr>
            <w:tcW w:w="990" w:type="dxa"/>
            <w:tcBorders>
              <w:top w:val="single" w:sz="4" w:space="0" w:color="8EA9DB"/>
              <w:left w:val="nil"/>
              <w:bottom w:val="single" w:sz="4" w:space="0" w:color="8EA9DB"/>
              <w:right w:val="nil"/>
            </w:tcBorders>
            <w:shd w:val="clear" w:color="D9E1F2" w:fill="D9E1F2"/>
            <w:noWrap/>
            <w:vAlign w:val="bottom"/>
            <w:hideMark/>
          </w:tcPr>
          <w:p w14:paraId="09C4F662"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20.25%</w:t>
            </w:r>
          </w:p>
        </w:tc>
        <w:tc>
          <w:tcPr>
            <w:tcW w:w="990" w:type="dxa"/>
            <w:tcBorders>
              <w:top w:val="single" w:sz="4" w:space="0" w:color="8EA9DB"/>
              <w:left w:val="nil"/>
              <w:bottom w:val="single" w:sz="4" w:space="0" w:color="8EA9DB"/>
              <w:right w:val="nil"/>
            </w:tcBorders>
            <w:shd w:val="clear" w:color="D9E1F2" w:fill="D9E1F2"/>
            <w:noWrap/>
            <w:vAlign w:val="bottom"/>
            <w:hideMark/>
          </w:tcPr>
          <w:p w14:paraId="642CBD7B"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19.96%</w:t>
            </w:r>
          </w:p>
        </w:tc>
        <w:tc>
          <w:tcPr>
            <w:tcW w:w="1080" w:type="dxa"/>
            <w:tcBorders>
              <w:top w:val="single" w:sz="4" w:space="0" w:color="8EA9DB"/>
              <w:left w:val="nil"/>
              <w:bottom w:val="single" w:sz="4" w:space="0" w:color="8EA9DB"/>
              <w:right w:val="nil"/>
            </w:tcBorders>
            <w:shd w:val="clear" w:color="D9E1F2" w:fill="D9E1F2"/>
            <w:noWrap/>
            <w:vAlign w:val="bottom"/>
            <w:hideMark/>
          </w:tcPr>
          <w:p w14:paraId="236DF426"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26.30%</w:t>
            </w:r>
          </w:p>
        </w:tc>
        <w:tc>
          <w:tcPr>
            <w:tcW w:w="990" w:type="dxa"/>
            <w:tcBorders>
              <w:top w:val="single" w:sz="4" w:space="0" w:color="8EA9DB"/>
              <w:left w:val="nil"/>
              <w:bottom w:val="single" w:sz="4" w:space="0" w:color="8EA9DB"/>
              <w:right w:val="nil"/>
            </w:tcBorders>
            <w:shd w:val="clear" w:color="D9E1F2" w:fill="D9E1F2"/>
            <w:noWrap/>
            <w:vAlign w:val="bottom"/>
            <w:hideMark/>
          </w:tcPr>
          <w:p w14:paraId="4C3C0ED3"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19.38%</w:t>
            </w:r>
          </w:p>
        </w:tc>
        <w:tc>
          <w:tcPr>
            <w:tcW w:w="1890" w:type="dxa"/>
            <w:tcBorders>
              <w:top w:val="single" w:sz="4" w:space="0" w:color="8EA9DB"/>
              <w:left w:val="nil"/>
              <w:bottom w:val="single" w:sz="4" w:space="0" w:color="8EA9DB"/>
              <w:right w:val="single" w:sz="4" w:space="0" w:color="8EA9DB"/>
            </w:tcBorders>
            <w:shd w:val="clear" w:color="D9E1F2" w:fill="D9E1F2"/>
            <w:noWrap/>
            <w:vAlign w:val="bottom"/>
            <w:hideMark/>
          </w:tcPr>
          <w:p w14:paraId="37119742"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11.49%</w:t>
            </w:r>
          </w:p>
        </w:tc>
      </w:tr>
      <w:tr w:rsidR="005E47CB" w:rsidRPr="003A0A70" w14:paraId="6DAA3A31" w14:textId="77777777" w:rsidTr="00581D82">
        <w:trPr>
          <w:trHeight w:val="300"/>
        </w:trPr>
        <w:tc>
          <w:tcPr>
            <w:tcW w:w="2430" w:type="dxa"/>
            <w:tcBorders>
              <w:top w:val="nil"/>
              <w:left w:val="nil"/>
              <w:bottom w:val="nil"/>
              <w:right w:val="nil"/>
            </w:tcBorders>
            <w:shd w:val="clear" w:color="000000" w:fill="0070C0"/>
            <w:noWrap/>
            <w:vAlign w:val="bottom"/>
            <w:hideMark/>
          </w:tcPr>
          <w:p w14:paraId="3500D903" w14:textId="77777777" w:rsidR="00A45B00" w:rsidRPr="003A0A70" w:rsidRDefault="00A45B00" w:rsidP="00A45B00">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Return on Assets</w:t>
            </w:r>
          </w:p>
        </w:tc>
        <w:tc>
          <w:tcPr>
            <w:tcW w:w="990" w:type="dxa"/>
            <w:tcBorders>
              <w:top w:val="single" w:sz="4" w:space="0" w:color="8EA9DB"/>
              <w:left w:val="single" w:sz="4" w:space="0" w:color="8EA9DB"/>
              <w:bottom w:val="single" w:sz="4" w:space="0" w:color="8EA9DB"/>
              <w:right w:val="nil"/>
            </w:tcBorders>
            <w:shd w:val="clear" w:color="auto" w:fill="auto"/>
            <w:noWrap/>
            <w:vAlign w:val="bottom"/>
            <w:hideMark/>
          </w:tcPr>
          <w:p w14:paraId="7C921BC8"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11.38%</w:t>
            </w:r>
          </w:p>
        </w:tc>
        <w:tc>
          <w:tcPr>
            <w:tcW w:w="990" w:type="dxa"/>
            <w:tcBorders>
              <w:top w:val="single" w:sz="4" w:space="0" w:color="8EA9DB"/>
              <w:left w:val="nil"/>
              <w:bottom w:val="single" w:sz="4" w:space="0" w:color="8EA9DB"/>
              <w:right w:val="nil"/>
            </w:tcBorders>
            <w:shd w:val="clear" w:color="auto" w:fill="auto"/>
            <w:noWrap/>
            <w:vAlign w:val="bottom"/>
            <w:hideMark/>
          </w:tcPr>
          <w:p w14:paraId="0C40C3BE"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12.15%</w:t>
            </w:r>
          </w:p>
        </w:tc>
        <w:tc>
          <w:tcPr>
            <w:tcW w:w="990" w:type="dxa"/>
            <w:tcBorders>
              <w:top w:val="single" w:sz="4" w:space="0" w:color="8EA9DB"/>
              <w:left w:val="nil"/>
              <w:bottom w:val="single" w:sz="4" w:space="0" w:color="8EA9DB"/>
              <w:right w:val="nil"/>
            </w:tcBorders>
            <w:shd w:val="clear" w:color="auto" w:fill="auto"/>
            <w:noWrap/>
            <w:vAlign w:val="bottom"/>
            <w:hideMark/>
          </w:tcPr>
          <w:p w14:paraId="2BA1FBB5"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12.53%</w:t>
            </w:r>
          </w:p>
        </w:tc>
        <w:tc>
          <w:tcPr>
            <w:tcW w:w="1080" w:type="dxa"/>
            <w:tcBorders>
              <w:top w:val="single" w:sz="4" w:space="0" w:color="8EA9DB"/>
              <w:left w:val="nil"/>
              <w:bottom w:val="single" w:sz="4" w:space="0" w:color="8EA9DB"/>
              <w:right w:val="nil"/>
            </w:tcBorders>
            <w:shd w:val="clear" w:color="auto" w:fill="auto"/>
            <w:noWrap/>
            <w:vAlign w:val="bottom"/>
            <w:hideMark/>
          </w:tcPr>
          <w:p w14:paraId="004224A0"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16.40%</w:t>
            </w:r>
          </w:p>
        </w:tc>
        <w:tc>
          <w:tcPr>
            <w:tcW w:w="990" w:type="dxa"/>
            <w:tcBorders>
              <w:top w:val="single" w:sz="4" w:space="0" w:color="8EA9DB"/>
              <w:left w:val="nil"/>
              <w:bottom w:val="single" w:sz="4" w:space="0" w:color="8EA9DB"/>
              <w:right w:val="nil"/>
            </w:tcBorders>
            <w:shd w:val="clear" w:color="auto" w:fill="auto"/>
            <w:noWrap/>
            <w:vAlign w:val="bottom"/>
            <w:hideMark/>
          </w:tcPr>
          <w:p w14:paraId="0483C7C0"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14.23%</w:t>
            </w:r>
          </w:p>
        </w:tc>
        <w:tc>
          <w:tcPr>
            <w:tcW w:w="1890" w:type="dxa"/>
            <w:tcBorders>
              <w:top w:val="single" w:sz="4" w:space="0" w:color="8EA9DB"/>
              <w:left w:val="nil"/>
              <w:bottom w:val="single" w:sz="4" w:space="0" w:color="8EA9DB"/>
              <w:right w:val="single" w:sz="4" w:space="0" w:color="8EA9DB"/>
            </w:tcBorders>
            <w:shd w:val="clear" w:color="auto" w:fill="auto"/>
            <w:noWrap/>
            <w:vAlign w:val="bottom"/>
            <w:hideMark/>
          </w:tcPr>
          <w:p w14:paraId="4E92B803"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p>
        </w:tc>
      </w:tr>
      <w:tr w:rsidR="005E47CB" w:rsidRPr="003A0A70" w14:paraId="48E01BA8" w14:textId="77777777" w:rsidTr="00581D82">
        <w:trPr>
          <w:trHeight w:val="300"/>
        </w:trPr>
        <w:tc>
          <w:tcPr>
            <w:tcW w:w="2430" w:type="dxa"/>
            <w:tcBorders>
              <w:top w:val="nil"/>
              <w:left w:val="nil"/>
              <w:bottom w:val="nil"/>
              <w:right w:val="nil"/>
            </w:tcBorders>
            <w:shd w:val="clear" w:color="000000" w:fill="0070C0"/>
            <w:noWrap/>
            <w:vAlign w:val="bottom"/>
            <w:hideMark/>
          </w:tcPr>
          <w:p w14:paraId="36876176" w14:textId="77777777" w:rsidR="00A45B00" w:rsidRPr="003A0A70" w:rsidRDefault="00A45B00" w:rsidP="00A45B00">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Return on Equity</w:t>
            </w:r>
          </w:p>
        </w:tc>
        <w:tc>
          <w:tcPr>
            <w:tcW w:w="990" w:type="dxa"/>
            <w:tcBorders>
              <w:top w:val="single" w:sz="4" w:space="0" w:color="8EA9DB"/>
              <w:left w:val="single" w:sz="4" w:space="0" w:color="8EA9DB"/>
              <w:bottom w:val="single" w:sz="4" w:space="0" w:color="8EA9DB"/>
              <w:right w:val="nil"/>
            </w:tcBorders>
            <w:shd w:val="clear" w:color="D9E1F2" w:fill="D9E1F2"/>
            <w:noWrap/>
            <w:vAlign w:val="bottom"/>
            <w:hideMark/>
          </w:tcPr>
          <w:p w14:paraId="02B2C8DB"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19.11%</w:t>
            </w:r>
          </w:p>
        </w:tc>
        <w:tc>
          <w:tcPr>
            <w:tcW w:w="990" w:type="dxa"/>
            <w:tcBorders>
              <w:top w:val="single" w:sz="4" w:space="0" w:color="8EA9DB"/>
              <w:left w:val="nil"/>
              <w:bottom w:val="single" w:sz="4" w:space="0" w:color="8EA9DB"/>
              <w:right w:val="nil"/>
            </w:tcBorders>
            <w:shd w:val="clear" w:color="D9E1F2" w:fill="D9E1F2"/>
            <w:noWrap/>
            <w:vAlign w:val="bottom"/>
            <w:hideMark/>
          </w:tcPr>
          <w:p w14:paraId="1FD03CFF"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22.70%</w:t>
            </w:r>
          </w:p>
        </w:tc>
        <w:tc>
          <w:tcPr>
            <w:tcW w:w="990" w:type="dxa"/>
            <w:tcBorders>
              <w:top w:val="single" w:sz="4" w:space="0" w:color="8EA9DB"/>
              <w:left w:val="nil"/>
              <w:bottom w:val="single" w:sz="4" w:space="0" w:color="8EA9DB"/>
              <w:right w:val="nil"/>
            </w:tcBorders>
            <w:shd w:val="clear" w:color="D9E1F2" w:fill="D9E1F2"/>
            <w:noWrap/>
            <w:vAlign w:val="bottom"/>
            <w:hideMark/>
          </w:tcPr>
          <w:p w14:paraId="12C0C866"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23.82%</w:t>
            </w:r>
          </w:p>
        </w:tc>
        <w:tc>
          <w:tcPr>
            <w:tcW w:w="1080" w:type="dxa"/>
            <w:tcBorders>
              <w:top w:val="single" w:sz="4" w:space="0" w:color="8EA9DB"/>
              <w:left w:val="nil"/>
              <w:bottom w:val="single" w:sz="4" w:space="0" w:color="8EA9DB"/>
              <w:right w:val="nil"/>
            </w:tcBorders>
            <w:shd w:val="clear" w:color="D9E1F2" w:fill="D9E1F2"/>
            <w:noWrap/>
            <w:vAlign w:val="bottom"/>
            <w:hideMark/>
          </w:tcPr>
          <w:p w14:paraId="08D4BFA8"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34.04%</w:t>
            </w:r>
          </w:p>
        </w:tc>
        <w:tc>
          <w:tcPr>
            <w:tcW w:w="990" w:type="dxa"/>
            <w:tcBorders>
              <w:top w:val="single" w:sz="4" w:space="0" w:color="8EA9DB"/>
              <w:left w:val="nil"/>
              <w:bottom w:val="single" w:sz="4" w:space="0" w:color="8EA9DB"/>
              <w:right w:val="nil"/>
            </w:tcBorders>
            <w:shd w:val="clear" w:color="D9E1F2" w:fill="D9E1F2"/>
            <w:noWrap/>
            <w:vAlign w:val="bottom"/>
            <w:hideMark/>
          </w:tcPr>
          <w:p w14:paraId="64C95843"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28.82%</w:t>
            </w:r>
          </w:p>
        </w:tc>
        <w:tc>
          <w:tcPr>
            <w:tcW w:w="1890" w:type="dxa"/>
            <w:tcBorders>
              <w:top w:val="single" w:sz="4" w:space="0" w:color="8EA9DB"/>
              <w:left w:val="nil"/>
              <w:bottom w:val="single" w:sz="4" w:space="0" w:color="8EA9DB"/>
              <w:right w:val="single" w:sz="4" w:space="0" w:color="8EA9DB"/>
            </w:tcBorders>
            <w:shd w:val="clear" w:color="D9E1F2" w:fill="D9E1F2"/>
            <w:noWrap/>
            <w:vAlign w:val="bottom"/>
            <w:hideMark/>
          </w:tcPr>
          <w:p w14:paraId="1B4BE014" w14:textId="77777777" w:rsidR="00A45B00" w:rsidRPr="003A0A70" w:rsidRDefault="00A45B00" w:rsidP="005E47CB">
            <w:pPr>
              <w:spacing w:after="0" w:line="240" w:lineRule="auto"/>
              <w:jc w:val="center"/>
              <w:rPr>
                <w:rFonts w:ascii="Times New Roman" w:eastAsia="Times New Roman" w:hAnsi="Times New Roman" w:cs="Times New Roman"/>
                <w:color w:val="000000"/>
                <w:sz w:val="24"/>
                <w:szCs w:val="24"/>
              </w:rPr>
            </w:pPr>
          </w:p>
        </w:tc>
      </w:tr>
    </w:tbl>
    <w:p w14:paraId="5F717762" w14:textId="77777777" w:rsidR="008D2EBD" w:rsidRDefault="008D2EBD" w:rsidP="001E2D0C">
      <w:pPr>
        <w:rPr>
          <w:rFonts w:ascii="Times New Roman" w:hAnsi="Times New Roman" w:cs="Times New Roman"/>
          <w:color w:val="000000" w:themeColor="text1"/>
          <w:sz w:val="24"/>
          <w:szCs w:val="24"/>
        </w:rPr>
      </w:pPr>
    </w:p>
    <w:p w14:paraId="54C39DC4" w14:textId="77777777" w:rsidR="008D2EBD" w:rsidRPr="003A0A70" w:rsidRDefault="008D2EBD" w:rsidP="001E2D0C">
      <w:pPr>
        <w:rPr>
          <w:rFonts w:ascii="Times New Roman" w:hAnsi="Times New Roman" w:cs="Times New Roman"/>
          <w:color w:val="000000" w:themeColor="text1"/>
          <w:sz w:val="24"/>
          <w:szCs w:val="24"/>
        </w:rPr>
      </w:pPr>
    </w:p>
    <w:tbl>
      <w:tblPr>
        <w:tblW w:w="9360" w:type="dxa"/>
        <w:tblLayout w:type="fixed"/>
        <w:tblLook w:val="04A0" w:firstRow="1" w:lastRow="0" w:firstColumn="1" w:lastColumn="0" w:noHBand="0" w:noVBand="1"/>
      </w:tblPr>
      <w:tblGrid>
        <w:gridCol w:w="2395"/>
        <w:gridCol w:w="1160"/>
        <w:gridCol w:w="1161"/>
        <w:gridCol w:w="1161"/>
        <w:gridCol w:w="1161"/>
        <w:gridCol w:w="1161"/>
        <w:gridCol w:w="1161"/>
      </w:tblGrid>
      <w:tr w:rsidR="006950A6" w:rsidRPr="003A0A70" w14:paraId="34455171" w14:textId="77777777" w:rsidTr="008D2EBD">
        <w:trPr>
          <w:trHeight w:val="180"/>
        </w:trPr>
        <w:tc>
          <w:tcPr>
            <w:tcW w:w="9360" w:type="dxa"/>
            <w:gridSpan w:val="7"/>
            <w:tcBorders>
              <w:top w:val="nil"/>
              <w:left w:val="nil"/>
              <w:bottom w:val="single" w:sz="12" w:space="0" w:color="4472C4"/>
              <w:right w:val="nil"/>
            </w:tcBorders>
            <w:shd w:val="clear" w:color="000000" w:fill="8EA9DB"/>
            <w:noWrap/>
            <w:vAlign w:val="bottom"/>
            <w:hideMark/>
          </w:tcPr>
          <w:p w14:paraId="7016C30A" w14:textId="77777777" w:rsidR="006950A6" w:rsidRPr="003A0A70" w:rsidRDefault="006950A6" w:rsidP="006950A6">
            <w:pPr>
              <w:spacing w:after="0" w:line="240" w:lineRule="auto"/>
              <w:jc w:val="center"/>
              <w:rPr>
                <w:rFonts w:ascii="Times New Roman" w:eastAsia="Times New Roman" w:hAnsi="Times New Roman" w:cs="Times New Roman"/>
                <w:b/>
                <w:bCs/>
                <w:color w:val="44546A"/>
                <w:sz w:val="24"/>
                <w:szCs w:val="24"/>
              </w:rPr>
            </w:pPr>
            <w:r w:rsidRPr="003A0A70">
              <w:rPr>
                <w:rFonts w:ascii="Times New Roman" w:eastAsia="Times New Roman" w:hAnsi="Times New Roman" w:cs="Times New Roman"/>
                <w:b/>
                <w:bCs/>
                <w:color w:val="44546A"/>
                <w:sz w:val="24"/>
                <w:szCs w:val="24"/>
              </w:rPr>
              <w:lastRenderedPageBreak/>
              <w:t>Activision Blizzard - Profitability Ratios</w:t>
            </w:r>
          </w:p>
        </w:tc>
      </w:tr>
      <w:tr w:rsidR="006950A6" w:rsidRPr="003A0A70" w14:paraId="5A3FFC90" w14:textId="77777777" w:rsidTr="008D2EBD">
        <w:trPr>
          <w:trHeight w:val="315"/>
        </w:trPr>
        <w:tc>
          <w:tcPr>
            <w:tcW w:w="2395" w:type="dxa"/>
            <w:tcBorders>
              <w:top w:val="single" w:sz="4" w:space="0" w:color="8EA9DB"/>
              <w:left w:val="single" w:sz="4" w:space="0" w:color="8EA9DB"/>
              <w:bottom w:val="single" w:sz="4" w:space="0" w:color="8EA9DB"/>
              <w:right w:val="nil"/>
            </w:tcBorders>
            <w:shd w:val="clear" w:color="4472C4" w:fill="4472C4"/>
            <w:noWrap/>
            <w:vAlign w:val="bottom"/>
            <w:hideMark/>
          </w:tcPr>
          <w:p w14:paraId="62522ACC" w14:textId="77777777" w:rsidR="006950A6" w:rsidRPr="003A0A70" w:rsidRDefault="006950A6" w:rsidP="006950A6">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 </w:t>
            </w:r>
          </w:p>
        </w:tc>
        <w:tc>
          <w:tcPr>
            <w:tcW w:w="1160" w:type="dxa"/>
            <w:tcBorders>
              <w:top w:val="single" w:sz="12" w:space="0" w:color="4472C4"/>
              <w:left w:val="single" w:sz="4" w:space="0" w:color="8EA9DB"/>
              <w:bottom w:val="single" w:sz="4" w:space="0" w:color="8EA9DB"/>
              <w:right w:val="nil"/>
            </w:tcBorders>
            <w:shd w:val="clear" w:color="4472C4" w:fill="4472C4"/>
            <w:noWrap/>
            <w:vAlign w:val="bottom"/>
            <w:hideMark/>
          </w:tcPr>
          <w:p w14:paraId="0540D0A5" w14:textId="77777777" w:rsidR="006950A6" w:rsidRPr="003A0A70" w:rsidRDefault="006950A6" w:rsidP="006950A6">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2019</w:t>
            </w:r>
          </w:p>
        </w:tc>
        <w:tc>
          <w:tcPr>
            <w:tcW w:w="1161" w:type="dxa"/>
            <w:tcBorders>
              <w:top w:val="single" w:sz="12" w:space="0" w:color="4472C4"/>
              <w:left w:val="nil"/>
              <w:bottom w:val="single" w:sz="4" w:space="0" w:color="8EA9DB"/>
              <w:right w:val="nil"/>
            </w:tcBorders>
            <w:shd w:val="clear" w:color="4472C4" w:fill="4472C4"/>
            <w:noWrap/>
            <w:vAlign w:val="bottom"/>
            <w:hideMark/>
          </w:tcPr>
          <w:p w14:paraId="2290F913" w14:textId="77777777" w:rsidR="006950A6" w:rsidRPr="003A0A70" w:rsidRDefault="006950A6" w:rsidP="006950A6">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2018</w:t>
            </w:r>
          </w:p>
        </w:tc>
        <w:tc>
          <w:tcPr>
            <w:tcW w:w="1161" w:type="dxa"/>
            <w:tcBorders>
              <w:top w:val="single" w:sz="12" w:space="0" w:color="4472C4"/>
              <w:left w:val="nil"/>
              <w:bottom w:val="single" w:sz="4" w:space="0" w:color="8EA9DB"/>
              <w:right w:val="nil"/>
            </w:tcBorders>
            <w:shd w:val="clear" w:color="4472C4" w:fill="4472C4"/>
            <w:noWrap/>
            <w:vAlign w:val="bottom"/>
            <w:hideMark/>
          </w:tcPr>
          <w:p w14:paraId="2EB00B0C" w14:textId="77777777" w:rsidR="006950A6" w:rsidRPr="003A0A70" w:rsidRDefault="006950A6" w:rsidP="006950A6">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2017</w:t>
            </w:r>
          </w:p>
        </w:tc>
        <w:tc>
          <w:tcPr>
            <w:tcW w:w="1161" w:type="dxa"/>
            <w:tcBorders>
              <w:top w:val="single" w:sz="12" w:space="0" w:color="4472C4"/>
              <w:left w:val="nil"/>
              <w:bottom w:val="single" w:sz="4" w:space="0" w:color="8EA9DB"/>
              <w:right w:val="nil"/>
            </w:tcBorders>
            <w:shd w:val="clear" w:color="4472C4" w:fill="4472C4"/>
            <w:noWrap/>
            <w:vAlign w:val="bottom"/>
            <w:hideMark/>
          </w:tcPr>
          <w:p w14:paraId="32A4873A" w14:textId="77777777" w:rsidR="006950A6" w:rsidRPr="003A0A70" w:rsidRDefault="006950A6" w:rsidP="006950A6">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2016</w:t>
            </w:r>
          </w:p>
        </w:tc>
        <w:tc>
          <w:tcPr>
            <w:tcW w:w="1161" w:type="dxa"/>
            <w:tcBorders>
              <w:top w:val="single" w:sz="12" w:space="0" w:color="4472C4"/>
              <w:left w:val="nil"/>
              <w:bottom w:val="single" w:sz="4" w:space="0" w:color="8EA9DB"/>
              <w:right w:val="nil"/>
            </w:tcBorders>
            <w:shd w:val="clear" w:color="4472C4" w:fill="4472C4"/>
            <w:noWrap/>
            <w:vAlign w:val="bottom"/>
            <w:hideMark/>
          </w:tcPr>
          <w:p w14:paraId="6CE49AED" w14:textId="77777777" w:rsidR="006950A6" w:rsidRPr="003A0A70" w:rsidRDefault="006950A6" w:rsidP="006950A6">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2015</w:t>
            </w:r>
          </w:p>
        </w:tc>
        <w:tc>
          <w:tcPr>
            <w:tcW w:w="1161" w:type="dxa"/>
            <w:tcBorders>
              <w:top w:val="single" w:sz="12" w:space="0" w:color="4472C4"/>
              <w:left w:val="nil"/>
              <w:bottom w:val="single" w:sz="4" w:space="0" w:color="8EA9DB"/>
              <w:right w:val="single" w:sz="4" w:space="0" w:color="8EA9DB"/>
            </w:tcBorders>
            <w:shd w:val="clear" w:color="4472C4" w:fill="4472C4"/>
            <w:noWrap/>
            <w:vAlign w:val="bottom"/>
            <w:hideMark/>
          </w:tcPr>
          <w:p w14:paraId="191874A7" w14:textId="77777777" w:rsidR="006950A6" w:rsidRPr="003A0A70" w:rsidRDefault="006950A6" w:rsidP="006950A6">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Industry Average</w:t>
            </w:r>
          </w:p>
        </w:tc>
      </w:tr>
      <w:tr w:rsidR="006950A6" w:rsidRPr="003A0A70" w14:paraId="6CD623C2" w14:textId="77777777" w:rsidTr="008D2EBD">
        <w:trPr>
          <w:trHeight w:val="300"/>
        </w:trPr>
        <w:tc>
          <w:tcPr>
            <w:tcW w:w="2395" w:type="dxa"/>
            <w:tcBorders>
              <w:top w:val="nil"/>
              <w:left w:val="nil"/>
              <w:bottom w:val="nil"/>
              <w:right w:val="nil"/>
            </w:tcBorders>
            <w:shd w:val="clear" w:color="000000" w:fill="0070C0"/>
            <w:noWrap/>
            <w:vAlign w:val="bottom"/>
            <w:hideMark/>
          </w:tcPr>
          <w:p w14:paraId="63C90E9B"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Gross Profit Margin</w:t>
            </w:r>
          </w:p>
        </w:tc>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3423889"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67.73%</w:t>
            </w:r>
          </w:p>
        </w:tc>
        <w:tc>
          <w:tcPr>
            <w:tcW w:w="1161" w:type="dxa"/>
            <w:tcBorders>
              <w:top w:val="single" w:sz="4" w:space="0" w:color="8EA9DB"/>
              <w:left w:val="nil"/>
              <w:bottom w:val="single" w:sz="4" w:space="0" w:color="8EA9DB"/>
              <w:right w:val="nil"/>
            </w:tcBorders>
            <w:shd w:val="clear" w:color="D9E1F2" w:fill="D9E1F2"/>
            <w:noWrap/>
            <w:vAlign w:val="bottom"/>
            <w:hideMark/>
          </w:tcPr>
          <w:p w14:paraId="0E7FACA6"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66.44%</w:t>
            </w:r>
          </w:p>
        </w:tc>
        <w:tc>
          <w:tcPr>
            <w:tcW w:w="1161" w:type="dxa"/>
            <w:tcBorders>
              <w:top w:val="single" w:sz="4" w:space="0" w:color="8EA9DB"/>
              <w:left w:val="nil"/>
              <w:bottom w:val="single" w:sz="4" w:space="0" w:color="8EA9DB"/>
              <w:right w:val="nil"/>
            </w:tcBorders>
            <w:shd w:val="clear" w:color="D9E1F2" w:fill="D9E1F2"/>
            <w:noWrap/>
            <w:vAlign w:val="bottom"/>
            <w:hideMark/>
          </w:tcPr>
          <w:p w14:paraId="530F1DB7"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64.36%</w:t>
            </w:r>
          </w:p>
        </w:tc>
        <w:tc>
          <w:tcPr>
            <w:tcW w:w="1161" w:type="dxa"/>
            <w:tcBorders>
              <w:top w:val="single" w:sz="4" w:space="0" w:color="8EA9DB"/>
              <w:left w:val="nil"/>
              <w:bottom w:val="single" w:sz="4" w:space="0" w:color="8EA9DB"/>
              <w:right w:val="nil"/>
            </w:tcBorders>
            <w:shd w:val="clear" w:color="D9E1F2" w:fill="D9E1F2"/>
            <w:noWrap/>
            <w:vAlign w:val="bottom"/>
            <w:hideMark/>
          </w:tcPr>
          <w:p w14:paraId="05F3E547"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63.77%</w:t>
            </w:r>
          </w:p>
        </w:tc>
        <w:tc>
          <w:tcPr>
            <w:tcW w:w="1161" w:type="dxa"/>
            <w:tcBorders>
              <w:top w:val="single" w:sz="4" w:space="0" w:color="8EA9DB"/>
              <w:left w:val="nil"/>
              <w:bottom w:val="single" w:sz="4" w:space="0" w:color="8EA9DB"/>
              <w:right w:val="nil"/>
            </w:tcBorders>
            <w:shd w:val="clear" w:color="D9E1F2" w:fill="D9E1F2"/>
            <w:noWrap/>
            <w:vAlign w:val="bottom"/>
            <w:hideMark/>
          </w:tcPr>
          <w:p w14:paraId="78AF8891"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66.02%</w:t>
            </w:r>
          </w:p>
        </w:tc>
        <w:tc>
          <w:tcPr>
            <w:tcW w:w="1161" w:type="dxa"/>
            <w:tcBorders>
              <w:top w:val="single" w:sz="4" w:space="0" w:color="8EA9DB"/>
              <w:left w:val="nil"/>
              <w:bottom w:val="single" w:sz="4" w:space="0" w:color="8EA9DB"/>
              <w:right w:val="single" w:sz="4" w:space="0" w:color="8EA9DB"/>
            </w:tcBorders>
            <w:shd w:val="clear" w:color="D9E1F2" w:fill="D9E1F2"/>
            <w:noWrap/>
            <w:vAlign w:val="bottom"/>
            <w:hideMark/>
          </w:tcPr>
          <w:p w14:paraId="0117103A"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49.68%</w:t>
            </w:r>
          </w:p>
        </w:tc>
      </w:tr>
      <w:tr w:rsidR="003F7E1E" w:rsidRPr="003A0A70" w14:paraId="575CB874" w14:textId="77777777" w:rsidTr="008D2EBD">
        <w:trPr>
          <w:trHeight w:val="300"/>
        </w:trPr>
        <w:tc>
          <w:tcPr>
            <w:tcW w:w="2395" w:type="dxa"/>
            <w:tcBorders>
              <w:top w:val="nil"/>
              <w:left w:val="nil"/>
              <w:bottom w:val="nil"/>
              <w:right w:val="nil"/>
            </w:tcBorders>
            <w:shd w:val="clear" w:color="000000" w:fill="0070C0"/>
            <w:noWrap/>
            <w:vAlign w:val="bottom"/>
            <w:hideMark/>
          </w:tcPr>
          <w:p w14:paraId="6E26CD80"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Operating Profit Margin</w:t>
            </w:r>
          </w:p>
        </w:tc>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1A68ED3"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24.76%</w:t>
            </w:r>
          </w:p>
        </w:tc>
        <w:tc>
          <w:tcPr>
            <w:tcW w:w="1161" w:type="dxa"/>
            <w:tcBorders>
              <w:top w:val="single" w:sz="4" w:space="0" w:color="8EA9DB"/>
              <w:left w:val="nil"/>
              <w:bottom w:val="single" w:sz="4" w:space="0" w:color="8EA9DB"/>
              <w:right w:val="nil"/>
            </w:tcBorders>
            <w:shd w:val="clear" w:color="auto" w:fill="auto"/>
            <w:noWrap/>
            <w:vAlign w:val="bottom"/>
            <w:hideMark/>
          </w:tcPr>
          <w:p w14:paraId="4DC22113"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26.51%</w:t>
            </w:r>
          </w:p>
        </w:tc>
        <w:tc>
          <w:tcPr>
            <w:tcW w:w="1161" w:type="dxa"/>
            <w:tcBorders>
              <w:top w:val="single" w:sz="4" w:space="0" w:color="8EA9DB"/>
              <w:left w:val="nil"/>
              <w:bottom w:val="single" w:sz="4" w:space="0" w:color="8EA9DB"/>
              <w:right w:val="nil"/>
            </w:tcBorders>
            <w:shd w:val="clear" w:color="auto" w:fill="auto"/>
            <w:noWrap/>
            <w:vAlign w:val="bottom"/>
            <w:hideMark/>
          </w:tcPr>
          <w:p w14:paraId="2B7BA960"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18.65%</w:t>
            </w:r>
          </w:p>
        </w:tc>
        <w:tc>
          <w:tcPr>
            <w:tcW w:w="1161" w:type="dxa"/>
            <w:tcBorders>
              <w:top w:val="single" w:sz="4" w:space="0" w:color="8EA9DB"/>
              <w:left w:val="nil"/>
              <w:bottom w:val="single" w:sz="4" w:space="0" w:color="8EA9DB"/>
              <w:right w:val="nil"/>
            </w:tcBorders>
            <w:shd w:val="clear" w:color="auto" w:fill="auto"/>
            <w:noWrap/>
            <w:vAlign w:val="bottom"/>
            <w:hideMark/>
          </w:tcPr>
          <w:p w14:paraId="421D88B0"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21.37%</w:t>
            </w:r>
          </w:p>
        </w:tc>
        <w:tc>
          <w:tcPr>
            <w:tcW w:w="1161" w:type="dxa"/>
            <w:tcBorders>
              <w:top w:val="single" w:sz="4" w:space="0" w:color="8EA9DB"/>
              <w:left w:val="nil"/>
              <w:bottom w:val="single" w:sz="4" w:space="0" w:color="8EA9DB"/>
              <w:right w:val="nil"/>
            </w:tcBorders>
            <w:shd w:val="clear" w:color="auto" w:fill="auto"/>
            <w:noWrap/>
            <w:vAlign w:val="bottom"/>
            <w:hideMark/>
          </w:tcPr>
          <w:p w14:paraId="0211A65A"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28.28%</w:t>
            </w:r>
          </w:p>
        </w:tc>
        <w:tc>
          <w:tcPr>
            <w:tcW w:w="1161" w:type="dxa"/>
            <w:tcBorders>
              <w:top w:val="single" w:sz="4" w:space="0" w:color="8EA9DB"/>
              <w:left w:val="nil"/>
              <w:bottom w:val="single" w:sz="4" w:space="0" w:color="8EA9DB"/>
              <w:right w:val="single" w:sz="4" w:space="0" w:color="8EA9DB"/>
            </w:tcBorders>
            <w:shd w:val="clear" w:color="auto" w:fill="auto"/>
            <w:noWrap/>
            <w:vAlign w:val="bottom"/>
            <w:hideMark/>
          </w:tcPr>
          <w:p w14:paraId="7A277913"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13.85%</w:t>
            </w:r>
          </w:p>
        </w:tc>
      </w:tr>
      <w:tr w:rsidR="006950A6" w:rsidRPr="003A0A70" w14:paraId="67AECC25" w14:textId="77777777" w:rsidTr="008D2EBD">
        <w:trPr>
          <w:trHeight w:val="300"/>
        </w:trPr>
        <w:tc>
          <w:tcPr>
            <w:tcW w:w="2395" w:type="dxa"/>
            <w:tcBorders>
              <w:top w:val="nil"/>
              <w:left w:val="nil"/>
              <w:bottom w:val="nil"/>
              <w:right w:val="nil"/>
            </w:tcBorders>
            <w:shd w:val="clear" w:color="000000" w:fill="0070C0"/>
            <w:noWrap/>
            <w:vAlign w:val="bottom"/>
            <w:hideMark/>
          </w:tcPr>
          <w:p w14:paraId="1B1D0FF0"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Net Profit Margin</w:t>
            </w:r>
          </w:p>
        </w:tc>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4F91CD7"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23.16%</w:t>
            </w:r>
          </w:p>
        </w:tc>
        <w:tc>
          <w:tcPr>
            <w:tcW w:w="1161" w:type="dxa"/>
            <w:tcBorders>
              <w:top w:val="single" w:sz="4" w:space="0" w:color="8EA9DB"/>
              <w:left w:val="nil"/>
              <w:bottom w:val="single" w:sz="4" w:space="0" w:color="8EA9DB"/>
              <w:right w:val="nil"/>
            </w:tcBorders>
            <w:shd w:val="clear" w:color="D9E1F2" w:fill="D9E1F2"/>
            <w:noWrap/>
            <w:vAlign w:val="bottom"/>
            <w:hideMark/>
          </w:tcPr>
          <w:p w14:paraId="23D435DB"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24.17%</w:t>
            </w:r>
          </w:p>
        </w:tc>
        <w:tc>
          <w:tcPr>
            <w:tcW w:w="1161" w:type="dxa"/>
            <w:tcBorders>
              <w:top w:val="single" w:sz="4" w:space="0" w:color="8EA9DB"/>
              <w:left w:val="nil"/>
              <w:bottom w:val="single" w:sz="4" w:space="0" w:color="8EA9DB"/>
              <w:right w:val="nil"/>
            </w:tcBorders>
            <w:shd w:val="clear" w:color="D9E1F2" w:fill="D9E1F2"/>
            <w:noWrap/>
            <w:vAlign w:val="bottom"/>
            <w:hideMark/>
          </w:tcPr>
          <w:p w14:paraId="1F22CC8E"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3.89%</w:t>
            </w:r>
          </w:p>
        </w:tc>
        <w:tc>
          <w:tcPr>
            <w:tcW w:w="1161" w:type="dxa"/>
            <w:tcBorders>
              <w:top w:val="single" w:sz="4" w:space="0" w:color="8EA9DB"/>
              <w:left w:val="nil"/>
              <w:bottom w:val="single" w:sz="4" w:space="0" w:color="8EA9DB"/>
              <w:right w:val="nil"/>
            </w:tcBorders>
            <w:shd w:val="clear" w:color="D9E1F2" w:fill="D9E1F2"/>
            <w:noWrap/>
            <w:vAlign w:val="bottom"/>
            <w:hideMark/>
          </w:tcPr>
          <w:p w14:paraId="150E2DB1"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14.62%</w:t>
            </w:r>
          </w:p>
        </w:tc>
        <w:tc>
          <w:tcPr>
            <w:tcW w:w="1161" w:type="dxa"/>
            <w:tcBorders>
              <w:top w:val="single" w:sz="4" w:space="0" w:color="8EA9DB"/>
              <w:left w:val="nil"/>
              <w:bottom w:val="single" w:sz="4" w:space="0" w:color="8EA9DB"/>
              <w:right w:val="nil"/>
            </w:tcBorders>
            <w:shd w:val="clear" w:color="D9E1F2" w:fill="D9E1F2"/>
            <w:noWrap/>
            <w:vAlign w:val="bottom"/>
            <w:hideMark/>
          </w:tcPr>
          <w:p w14:paraId="5BFBAB6D"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19.13%</w:t>
            </w:r>
          </w:p>
        </w:tc>
        <w:tc>
          <w:tcPr>
            <w:tcW w:w="1161" w:type="dxa"/>
            <w:tcBorders>
              <w:top w:val="single" w:sz="4" w:space="0" w:color="8EA9DB"/>
              <w:left w:val="nil"/>
              <w:bottom w:val="single" w:sz="4" w:space="0" w:color="8EA9DB"/>
              <w:right w:val="single" w:sz="4" w:space="0" w:color="8EA9DB"/>
            </w:tcBorders>
            <w:shd w:val="clear" w:color="D9E1F2" w:fill="D9E1F2"/>
            <w:noWrap/>
            <w:vAlign w:val="bottom"/>
            <w:hideMark/>
          </w:tcPr>
          <w:p w14:paraId="60EC636A"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11.49%</w:t>
            </w:r>
          </w:p>
        </w:tc>
      </w:tr>
      <w:tr w:rsidR="003F7E1E" w:rsidRPr="003A0A70" w14:paraId="2B4AC68E" w14:textId="77777777" w:rsidTr="008D2EBD">
        <w:trPr>
          <w:trHeight w:val="300"/>
        </w:trPr>
        <w:tc>
          <w:tcPr>
            <w:tcW w:w="2395" w:type="dxa"/>
            <w:tcBorders>
              <w:top w:val="nil"/>
              <w:left w:val="nil"/>
              <w:bottom w:val="nil"/>
              <w:right w:val="nil"/>
            </w:tcBorders>
            <w:shd w:val="clear" w:color="000000" w:fill="0070C0"/>
            <w:noWrap/>
            <w:vAlign w:val="bottom"/>
            <w:hideMark/>
          </w:tcPr>
          <w:p w14:paraId="37DAA433"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Return on Equity</w:t>
            </w:r>
          </w:p>
        </w:tc>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9D9FC90"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11.74%</w:t>
            </w:r>
          </w:p>
        </w:tc>
        <w:tc>
          <w:tcPr>
            <w:tcW w:w="1161" w:type="dxa"/>
            <w:tcBorders>
              <w:top w:val="single" w:sz="4" w:space="0" w:color="8EA9DB"/>
              <w:left w:val="nil"/>
              <w:bottom w:val="single" w:sz="4" w:space="0" w:color="8EA9DB"/>
              <w:right w:val="nil"/>
            </w:tcBorders>
            <w:shd w:val="clear" w:color="auto" w:fill="auto"/>
            <w:noWrap/>
            <w:vAlign w:val="bottom"/>
            <w:hideMark/>
          </w:tcPr>
          <w:p w14:paraId="1ABAF775"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15.96%</w:t>
            </w:r>
          </w:p>
        </w:tc>
        <w:tc>
          <w:tcPr>
            <w:tcW w:w="1161" w:type="dxa"/>
            <w:tcBorders>
              <w:top w:val="single" w:sz="4" w:space="0" w:color="8EA9DB"/>
              <w:left w:val="nil"/>
              <w:bottom w:val="single" w:sz="4" w:space="0" w:color="8EA9DB"/>
              <w:right w:val="nil"/>
            </w:tcBorders>
            <w:shd w:val="clear" w:color="auto" w:fill="auto"/>
            <w:noWrap/>
            <w:vAlign w:val="bottom"/>
            <w:hideMark/>
          </w:tcPr>
          <w:p w14:paraId="11B40080"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2.89%</w:t>
            </w:r>
          </w:p>
        </w:tc>
        <w:tc>
          <w:tcPr>
            <w:tcW w:w="1161" w:type="dxa"/>
            <w:tcBorders>
              <w:top w:val="single" w:sz="4" w:space="0" w:color="8EA9DB"/>
              <w:left w:val="nil"/>
              <w:bottom w:val="single" w:sz="4" w:space="0" w:color="8EA9DB"/>
              <w:right w:val="nil"/>
            </w:tcBorders>
            <w:shd w:val="clear" w:color="auto" w:fill="auto"/>
            <w:noWrap/>
            <w:vAlign w:val="bottom"/>
            <w:hideMark/>
          </w:tcPr>
          <w:p w14:paraId="4183DC6E"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10.59%</w:t>
            </w:r>
          </w:p>
        </w:tc>
        <w:tc>
          <w:tcPr>
            <w:tcW w:w="1161" w:type="dxa"/>
            <w:tcBorders>
              <w:top w:val="single" w:sz="4" w:space="0" w:color="8EA9DB"/>
              <w:left w:val="nil"/>
              <w:bottom w:val="single" w:sz="4" w:space="0" w:color="8EA9DB"/>
              <w:right w:val="nil"/>
            </w:tcBorders>
            <w:shd w:val="clear" w:color="auto" w:fill="auto"/>
            <w:noWrap/>
            <w:vAlign w:val="bottom"/>
            <w:hideMark/>
          </w:tcPr>
          <w:p w14:paraId="7AAC4F0F"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11.06%</w:t>
            </w:r>
          </w:p>
        </w:tc>
        <w:tc>
          <w:tcPr>
            <w:tcW w:w="1161" w:type="dxa"/>
            <w:tcBorders>
              <w:top w:val="single" w:sz="4" w:space="0" w:color="8EA9DB"/>
              <w:left w:val="nil"/>
              <w:bottom w:val="single" w:sz="4" w:space="0" w:color="8EA9DB"/>
              <w:right w:val="single" w:sz="4" w:space="0" w:color="8EA9DB"/>
            </w:tcBorders>
            <w:shd w:val="clear" w:color="auto" w:fill="auto"/>
            <w:noWrap/>
            <w:vAlign w:val="bottom"/>
            <w:hideMark/>
          </w:tcPr>
          <w:p w14:paraId="3F61F041"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p>
        </w:tc>
      </w:tr>
      <w:tr w:rsidR="006950A6" w:rsidRPr="003A0A70" w14:paraId="4E5C6914" w14:textId="77777777" w:rsidTr="008D2EBD">
        <w:trPr>
          <w:trHeight w:val="300"/>
        </w:trPr>
        <w:tc>
          <w:tcPr>
            <w:tcW w:w="2395" w:type="dxa"/>
            <w:tcBorders>
              <w:top w:val="nil"/>
              <w:left w:val="nil"/>
              <w:bottom w:val="nil"/>
              <w:right w:val="nil"/>
            </w:tcBorders>
            <w:shd w:val="clear" w:color="000000" w:fill="0070C0"/>
            <w:noWrap/>
            <w:vAlign w:val="bottom"/>
            <w:hideMark/>
          </w:tcPr>
          <w:p w14:paraId="6EB0005D"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Return on Assets</w:t>
            </w:r>
          </w:p>
        </w:tc>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10AD443"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7.57%</w:t>
            </w:r>
          </w:p>
        </w:tc>
        <w:tc>
          <w:tcPr>
            <w:tcW w:w="1161" w:type="dxa"/>
            <w:tcBorders>
              <w:top w:val="single" w:sz="4" w:space="0" w:color="8EA9DB"/>
              <w:left w:val="nil"/>
              <w:bottom w:val="single" w:sz="4" w:space="0" w:color="8EA9DB"/>
              <w:right w:val="nil"/>
            </w:tcBorders>
            <w:shd w:val="clear" w:color="D9E1F2" w:fill="D9E1F2"/>
            <w:noWrap/>
            <w:vAlign w:val="bottom"/>
            <w:hideMark/>
          </w:tcPr>
          <w:p w14:paraId="477DFE82"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10.17%</w:t>
            </w:r>
          </w:p>
        </w:tc>
        <w:tc>
          <w:tcPr>
            <w:tcW w:w="1161" w:type="dxa"/>
            <w:tcBorders>
              <w:top w:val="single" w:sz="4" w:space="0" w:color="8EA9DB"/>
              <w:left w:val="nil"/>
              <w:bottom w:val="single" w:sz="4" w:space="0" w:color="8EA9DB"/>
              <w:right w:val="nil"/>
            </w:tcBorders>
            <w:shd w:val="clear" w:color="D9E1F2" w:fill="D9E1F2"/>
            <w:noWrap/>
            <w:vAlign w:val="bottom"/>
            <w:hideMark/>
          </w:tcPr>
          <w:p w14:paraId="479997EB"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1.46%</w:t>
            </w:r>
          </w:p>
        </w:tc>
        <w:tc>
          <w:tcPr>
            <w:tcW w:w="1161" w:type="dxa"/>
            <w:tcBorders>
              <w:top w:val="single" w:sz="4" w:space="0" w:color="8EA9DB"/>
              <w:left w:val="nil"/>
              <w:bottom w:val="single" w:sz="4" w:space="0" w:color="8EA9DB"/>
              <w:right w:val="nil"/>
            </w:tcBorders>
            <w:shd w:val="clear" w:color="D9E1F2" w:fill="D9E1F2"/>
            <w:noWrap/>
            <w:vAlign w:val="bottom"/>
            <w:hideMark/>
          </w:tcPr>
          <w:p w14:paraId="6A65F247"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5.54%</w:t>
            </w:r>
          </w:p>
        </w:tc>
        <w:tc>
          <w:tcPr>
            <w:tcW w:w="1161" w:type="dxa"/>
            <w:tcBorders>
              <w:top w:val="single" w:sz="4" w:space="0" w:color="8EA9DB"/>
              <w:left w:val="nil"/>
              <w:bottom w:val="single" w:sz="4" w:space="0" w:color="8EA9DB"/>
              <w:right w:val="nil"/>
            </w:tcBorders>
            <w:shd w:val="clear" w:color="D9E1F2" w:fill="D9E1F2"/>
            <w:noWrap/>
            <w:vAlign w:val="bottom"/>
            <w:hideMark/>
          </w:tcPr>
          <w:p w14:paraId="640C7AD0"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5.85%</w:t>
            </w:r>
          </w:p>
        </w:tc>
        <w:tc>
          <w:tcPr>
            <w:tcW w:w="1161" w:type="dxa"/>
            <w:tcBorders>
              <w:top w:val="single" w:sz="4" w:space="0" w:color="8EA9DB"/>
              <w:left w:val="nil"/>
              <w:bottom w:val="single" w:sz="4" w:space="0" w:color="8EA9DB"/>
              <w:right w:val="single" w:sz="4" w:space="0" w:color="8EA9DB"/>
            </w:tcBorders>
            <w:shd w:val="clear" w:color="D9E1F2" w:fill="D9E1F2"/>
            <w:noWrap/>
            <w:vAlign w:val="bottom"/>
            <w:hideMark/>
          </w:tcPr>
          <w:p w14:paraId="4DD0626A" w14:textId="77777777" w:rsidR="006950A6" w:rsidRPr="003A0A70" w:rsidRDefault="006950A6" w:rsidP="006950A6">
            <w:pPr>
              <w:spacing w:after="0" w:line="240" w:lineRule="auto"/>
              <w:jc w:val="center"/>
              <w:rPr>
                <w:rFonts w:ascii="Times New Roman" w:eastAsia="Times New Roman" w:hAnsi="Times New Roman" w:cs="Times New Roman"/>
                <w:color w:val="000000"/>
                <w:sz w:val="24"/>
                <w:szCs w:val="24"/>
              </w:rPr>
            </w:pPr>
          </w:p>
        </w:tc>
      </w:tr>
    </w:tbl>
    <w:p w14:paraId="4EFE8E95" w14:textId="77777777" w:rsidR="008D2EBD" w:rsidRDefault="008D2EBD" w:rsidP="008D2EBD">
      <w:pPr>
        <w:spacing w:line="480" w:lineRule="auto"/>
        <w:rPr>
          <w:rFonts w:ascii="Times New Roman" w:hAnsi="Times New Roman" w:cs="Times New Roman"/>
          <w:color w:val="000000" w:themeColor="text1"/>
          <w:sz w:val="24"/>
          <w:szCs w:val="24"/>
        </w:rPr>
      </w:pPr>
    </w:p>
    <w:p w14:paraId="49302602" w14:textId="20692C5B" w:rsidR="007F5A7D" w:rsidRPr="00BD7C04" w:rsidRDefault="007F5A7D" w:rsidP="008D2EBD">
      <w:pPr>
        <w:spacing w:line="480" w:lineRule="auto"/>
        <w:ind w:firstLine="720"/>
        <w:contextualSpacing/>
        <w:rPr>
          <w:rFonts w:ascii="Times New Roman" w:hAnsi="Times New Roman" w:cs="Times New Roman"/>
          <w:b/>
          <w:bCs/>
          <w:i/>
          <w:iCs/>
          <w:color w:val="000000" w:themeColor="text1"/>
          <w:sz w:val="24"/>
          <w:szCs w:val="24"/>
        </w:rPr>
      </w:pPr>
      <w:r w:rsidRPr="00E073E7">
        <w:rPr>
          <w:rFonts w:ascii="Times New Roman" w:hAnsi="Times New Roman" w:cs="Times New Roman"/>
          <w:b/>
          <w:bCs/>
          <w:color w:val="000000" w:themeColor="text1"/>
          <w:sz w:val="24"/>
          <w:szCs w:val="24"/>
        </w:rPr>
        <w:t>Trend</w:t>
      </w:r>
      <w:r w:rsidRPr="004B569D">
        <w:rPr>
          <w:rFonts w:ascii="Times New Roman" w:hAnsi="Times New Roman" w:cs="Times New Roman"/>
          <w:b/>
          <w:bCs/>
          <w:i/>
          <w:iCs/>
          <w:color w:val="000000" w:themeColor="text1"/>
          <w:sz w:val="24"/>
          <w:szCs w:val="24"/>
        </w:rPr>
        <w:t xml:space="preserve"> </w:t>
      </w:r>
      <w:r w:rsidRPr="00E073E7">
        <w:rPr>
          <w:rFonts w:ascii="Times New Roman" w:hAnsi="Times New Roman" w:cs="Times New Roman"/>
          <w:b/>
          <w:bCs/>
          <w:color w:val="000000" w:themeColor="text1"/>
          <w:sz w:val="24"/>
          <w:szCs w:val="24"/>
        </w:rPr>
        <w:t>Analysis</w:t>
      </w:r>
      <w:r w:rsidR="00BD7C04">
        <w:rPr>
          <w:rFonts w:ascii="Times New Roman" w:hAnsi="Times New Roman" w:cs="Times New Roman"/>
          <w:b/>
          <w:bCs/>
          <w:color w:val="000000" w:themeColor="text1"/>
          <w:sz w:val="24"/>
          <w:szCs w:val="24"/>
        </w:rPr>
        <w:t>.</w:t>
      </w:r>
      <w:r w:rsidRPr="004B569D">
        <w:rPr>
          <w:rFonts w:ascii="Times New Roman" w:hAnsi="Times New Roman" w:cs="Times New Roman"/>
          <w:b/>
          <w:bCs/>
          <w:i/>
          <w:iCs/>
          <w:color w:val="000000" w:themeColor="text1"/>
          <w:sz w:val="24"/>
          <w:szCs w:val="24"/>
        </w:rPr>
        <w:t xml:space="preserve"> </w:t>
      </w:r>
      <w:r w:rsidRPr="003A0A70">
        <w:rPr>
          <w:rFonts w:ascii="Times New Roman" w:hAnsi="Times New Roman" w:cs="Times New Roman"/>
          <w:color w:val="000000" w:themeColor="text1"/>
          <w:sz w:val="24"/>
          <w:szCs w:val="24"/>
        </w:rPr>
        <w:t>EA’s has reported high-profit margins from 2015 to 2019</w:t>
      </w:r>
      <w:r w:rsidR="00D34679">
        <w:rPr>
          <w:rFonts w:ascii="Times New Roman" w:hAnsi="Times New Roman" w:cs="Times New Roman"/>
          <w:color w:val="000000" w:themeColor="text1"/>
          <w:sz w:val="24"/>
          <w:szCs w:val="24"/>
        </w:rPr>
        <w:t>.</w:t>
      </w:r>
      <w:r w:rsidRPr="003A0A70">
        <w:rPr>
          <w:rFonts w:ascii="Times New Roman" w:hAnsi="Times New Roman" w:cs="Times New Roman"/>
          <w:color w:val="000000" w:themeColor="text1"/>
          <w:sz w:val="24"/>
          <w:szCs w:val="24"/>
        </w:rPr>
        <w:t xml:space="preserve"> EA’s return on assets and return on equity has gone down from 2015 to 2018 with a 20.08% </w:t>
      </w:r>
      <w:r w:rsidR="00E073E7">
        <w:rPr>
          <w:rFonts w:ascii="Times New Roman" w:hAnsi="Times New Roman" w:cs="Times New Roman"/>
          <w:color w:val="000000" w:themeColor="text1"/>
          <w:sz w:val="24"/>
          <w:szCs w:val="24"/>
        </w:rPr>
        <w:t>decrease</w:t>
      </w:r>
      <w:r w:rsidRPr="003A0A70">
        <w:rPr>
          <w:rFonts w:ascii="Times New Roman" w:hAnsi="Times New Roman" w:cs="Times New Roman"/>
          <w:color w:val="000000" w:themeColor="text1"/>
          <w:sz w:val="24"/>
          <w:szCs w:val="24"/>
        </w:rPr>
        <w:t xml:space="preserve"> in return on assets and a 33.68% fall in return on equity. The </w:t>
      </w:r>
      <w:r w:rsidR="00E073E7">
        <w:rPr>
          <w:rFonts w:ascii="Times New Roman" w:hAnsi="Times New Roman" w:cs="Times New Roman"/>
          <w:color w:val="000000" w:themeColor="text1"/>
          <w:sz w:val="24"/>
          <w:szCs w:val="24"/>
        </w:rPr>
        <w:t>decrease</w:t>
      </w:r>
      <w:r w:rsidRPr="003A0A70">
        <w:rPr>
          <w:rFonts w:ascii="Times New Roman" w:hAnsi="Times New Roman" w:cs="Times New Roman"/>
          <w:color w:val="000000" w:themeColor="text1"/>
          <w:sz w:val="24"/>
          <w:szCs w:val="24"/>
        </w:rPr>
        <w:t xml:space="preserve"> in </w:t>
      </w:r>
      <w:r w:rsidR="0071636B">
        <w:rPr>
          <w:rFonts w:ascii="Times New Roman" w:hAnsi="Times New Roman" w:cs="Times New Roman"/>
          <w:color w:val="000000" w:themeColor="text1"/>
          <w:sz w:val="24"/>
          <w:szCs w:val="24"/>
        </w:rPr>
        <w:t>ROE</w:t>
      </w:r>
      <w:r w:rsidRPr="003A0A70">
        <w:rPr>
          <w:rFonts w:ascii="Times New Roman" w:hAnsi="Times New Roman" w:cs="Times New Roman"/>
          <w:color w:val="000000" w:themeColor="text1"/>
          <w:sz w:val="24"/>
          <w:szCs w:val="24"/>
        </w:rPr>
        <w:t xml:space="preserve"> may be due to a more significant rise in shareholder’s equity in comparison to net income. Moreover, the fall in return on assets maybe as a result of total assets increasing at a faster pace than net income. </w:t>
      </w:r>
    </w:p>
    <w:p w14:paraId="3DE801AE" w14:textId="79C2EA7D" w:rsidR="007F5A7D" w:rsidRPr="003A0A70" w:rsidRDefault="007F5A7D" w:rsidP="0047120B">
      <w:pPr>
        <w:spacing w:line="480" w:lineRule="auto"/>
        <w:ind w:firstLine="720"/>
        <w:contextualSpacing/>
        <w:rPr>
          <w:rFonts w:ascii="Times New Roman" w:hAnsi="Times New Roman" w:cs="Times New Roman"/>
          <w:color w:val="000000" w:themeColor="text1"/>
          <w:sz w:val="24"/>
          <w:szCs w:val="24"/>
        </w:rPr>
      </w:pPr>
      <w:r w:rsidRPr="003A0A70">
        <w:rPr>
          <w:rFonts w:ascii="Times New Roman" w:hAnsi="Times New Roman" w:cs="Times New Roman"/>
          <w:color w:val="000000" w:themeColor="text1"/>
          <w:sz w:val="24"/>
          <w:szCs w:val="24"/>
        </w:rPr>
        <w:t>Activision Blizzard has</w:t>
      </w:r>
      <w:r w:rsidR="00D34679">
        <w:rPr>
          <w:rFonts w:ascii="Times New Roman" w:hAnsi="Times New Roman" w:cs="Times New Roman"/>
          <w:color w:val="000000" w:themeColor="text1"/>
          <w:sz w:val="24"/>
          <w:szCs w:val="24"/>
        </w:rPr>
        <w:t xml:space="preserve"> had</w:t>
      </w:r>
      <w:r w:rsidRPr="003A0A70">
        <w:rPr>
          <w:rFonts w:ascii="Times New Roman" w:hAnsi="Times New Roman" w:cs="Times New Roman"/>
          <w:color w:val="000000" w:themeColor="text1"/>
          <w:sz w:val="24"/>
          <w:szCs w:val="24"/>
        </w:rPr>
        <w:t xml:space="preserve"> good profit margins from 2015 to</w:t>
      </w:r>
      <w:r w:rsidR="00D34679">
        <w:rPr>
          <w:rFonts w:ascii="Times New Roman" w:hAnsi="Times New Roman" w:cs="Times New Roman"/>
          <w:color w:val="000000" w:themeColor="text1"/>
          <w:sz w:val="24"/>
          <w:szCs w:val="24"/>
        </w:rPr>
        <w:t xml:space="preserve"> </w:t>
      </w:r>
      <w:r w:rsidRPr="003A0A70">
        <w:rPr>
          <w:rFonts w:ascii="Times New Roman" w:hAnsi="Times New Roman" w:cs="Times New Roman"/>
          <w:color w:val="000000" w:themeColor="text1"/>
          <w:sz w:val="24"/>
          <w:szCs w:val="24"/>
        </w:rPr>
        <w:t>2019</w:t>
      </w:r>
      <w:r w:rsidR="00D34679">
        <w:rPr>
          <w:rFonts w:ascii="Times New Roman" w:hAnsi="Times New Roman" w:cs="Times New Roman"/>
          <w:color w:val="000000" w:themeColor="text1"/>
          <w:sz w:val="24"/>
          <w:szCs w:val="24"/>
        </w:rPr>
        <w:t>.</w:t>
      </w:r>
      <w:r w:rsidRPr="003A0A70">
        <w:rPr>
          <w:rFonts w:ascii="Times New Roman" w:hAnsi="Times New Roman" w:cs="Times New Roman"/>
          <w:color w:val="000000" w:themeColor="text1"/>
          <w:sz w:val="24"/>
          <w:szCs w:val="24"/>
        </w:rPr>
        <w:t xml:space="preserve"> </w:t>
      </w:r>
      <w:r w:rsidR="00D34679">
        <w:rPr>
          <w:rFonts w:ascii="Times New Roman" w:hAnsi="Times New Roman" w:cs="Times New Roman"/>
          <w:color w:val="000000" w:themeColor="text1"/>
          <w:sz w:val="24"/>
          <w:szCs w:val="24"/>
        </w:rPr>
        <w:t>Activision Blizzard had</w:t>
      </w:r>
      <w:r w:rsidRPr="003A0A70">
        <w:rPr>
          <w:rFonts w:ascii="Times New Roman" w:hAnsi="Times New Roman" w:cs="Times New Roman"/>
          <w:color w:val="000000" w:themeColor="text1"/>
          <w:sz w:val="24"/>
          <w:szCs w:val="24"/>
        </w:rPr>
        <w:t xml:space="preserve"> a 6.16% increase in return on equity and a 29.49% increase in return on assets. However, in 2017, </w:t>
      </w:r>
      <w:r w:rsidR="0071636B">
        <w:rPr>
          <w:rFonts w:ascii="Times New Roman" w:hAnsi="Times New Roman" w:cs="Times New Roman"/>
          <w:color w:val="000000" w:themeColor="text1"/>
          <w:sz w:val="24"/>
          <w:szCs w:val="24"/>
        </w:rPr>
        <w:t>ROE</w:t>
      </w:r>
      <w:r w:rsidRPr="003A0A70">
        <w:rPr>
          <w:rFonts w:ascii="Times New Roman" w:hAnsi="Times New Roman" w:cs="Times New Roman"/>
          <w:color w:val="000000" w:themeColor="text1"/>
          <w:sz w:val="24"/>
          <w:szCs w:val="24"/>
        </w:rPr>
        <w:t xml:space="preserve"> plummeted to 2.89% due to a </w:t>
      </w:r>
      <w:r w:rsidR="00E073E7">
        <w:rPr>
          <w:rFonts w:ascii="Times New Roman" w:hAnsi="Times New Roman" w:cs="Times New Roman"/>
          <w:color w:val="000000" w:themeColor="text1"/>
          <w:sz w:val="24"/>
          <w:szCs w:val="24"/>
        </w:rPr>
        <w:t>large</w:t>
      </w:r>
      <w:r w:rsidRPr="003A0A70">
        <w:rPr>
          <w:rFonts w:ascii="Times New Roman" w:hAnsi="Times New Roman" w:cs="Times New Roman"/>
          <w:color w:val="000000" w:themeColor="text1"/>
          <w:sz w:val="24"/>
          <w:szCs w:val="24"/>
        </w:rPr>
        <w:t xml:space="preserve"> </w:t>
      </w:r>
      <w:r w:rsidR="00E073E7">
        <w:rPr>
          <w:rFonts w:ascii="Times New Roman" w:hAnsi="Times New Roman" w:cs="Times New Roman"/>
          <w:color w:val="000000" w:themeColor="text1"/>
          <w:sz w:val="24"/>
          <w:szCs w:val="24"/>
        </w:rPr>
        <w:t>decrease</w:t>
      </w:r>
      <w:r w:rsidRPr="003A0A70">
        <w:rPr>
          <w:rFonts w:ascii="Times New Roman" w:hAnsi="Times New Roman" w:cs="Times New Roman"/>
          <w:color w:val="000000" w:themeColor="text1"/>
          <w:sz w:val="24"/>
          <w:szCs w:val="24"/>
        </w:rPr>
        <w:t xml:space="preserve"> in net income. </w:t>
      </w:r>
      <w:r w:rsidR="00D34679">
        <w:rPr>
          <w:rFonts w:ascii="Times New Roman" w:hAnsi="Times New Roman" w:cs="Times New Roman"/>
          <w:color w:val="000000" w:themeColor="text1"/>
          <w:sz w:val="24"/>
          <w:szCs w:val="24"/>
        </w:rPr>
        <w:t>This fall in net income could be due to poor performance of games and software released that year.</w:t>
      </w:r>
    </w:p>
    <w:p w14:paraId="06EC370E" w14:textId="3EADFE00" w:rsidR="00D34679" w:rsidRPr="00D34679" w:rsidRDefault="007F5A7D" w:rsidP="00D34679">
      <w:pPr>
        <w:spacing w:line="480" w:lineRule="auto"/>
        <w:ind w:firstLine="720"/>
        <w:contextualSpacing/>
        <w:rPr>
          <w:rFonts w:ascii="Times New Roman" w:hAnsi="Times New Roman" w:cs="Times New Roman"/>
          <w:color w:val="000000" w:themeColor="text1"/>
          <w:sz w:val="24"/>
          <w:szCs w:val="24"/>
        </w:rPr>
      </w:pPr>
      <w:r w:rsidRPr="00E073E7">
        <w:rPr>
          <w:rFonts w:ascii="Times New Roman" w:hAnsi="Times New Roman" w:cs="Times New Roman"/>
          <w:b/>
          <w:bCs/>
          <w:color w:val="000000" w:themeColor="text1"/>
          <w:sz w:val="24"/>
          <w:szCs w:val="24"/>
        </w:rPr>
        <w:t>Cross Sectional Analysis</w:t>
      </w:r>
      <w:r w:rsidR="00BD7C04">
        <w:rPr>
          <w:rFonts w:ascii="Times New Roman" w:hAnsi="Times New Roman" w:cs="Times New Roman"/>
          <w:b/>
          <w:bCs/>
          <w:color w:val="000000" w:themeColor="text1"/>
          <w:sz w:val="24"/>
          <w:szCs w:val="24"/>
        </w:rPr>
        <w:t>.</w:t>
      </w:r>
      <w:r w:rsidRPr="00E073E7">
        <w:rPr>
          <w:rFonts w:ascii="Times New Roman" w:hAnsi="Times New Roman" w:cs="Times New Roman"/>
          <w:b/>
          <w:bCs/>
          <w:color w:val="000000" w:themeColor="text1"/>
          <w:sz w:val="24"/>
          <w:szCs w:val="24"/>
        </w:rPr>
        <w:t xml:space="preserve"> </w:t>
      </w:r>
      <w:r w:rsidRPr="003A0A70">
        <w:rPr>
          <w:rFonts w:ascii="Times New Roman" w:hAnsi="Times New Roman" w:cs="Times New Roman"/>
          <w:color w:val="000000" w:themeColor="text1"/>
          <w:sz w:val="24"/>
          <w:szCs w:val="24"/>
        </w:rPr>
        <w:t xml:space="preserve">When comparing the two companies, EA has </w:t>
      </w:r>
      <w:r w:rsidR="00D34679">
        <w:rPr>
          <w:rFonts w:ascii="Times New Roman" w:hAnsi="Times New Roman" w:cs="Times New Roman"/>
          <w:color w:val="000000" w:themeColor="text1"/>
          <w:sz w:val="24"/>
          <w:szCs w:val="24"/>
        </w:rPr>
        <w:t xml:space="preserve">a </w:t>
      </w:r>
      <w:r w:rsidRPr="003A0A70">
        <w:rPr>
          <w:rFonts w:ascii="Times New Roman" w:hAnsi="Times New Roman" w:cs="Times New Roman"/>
          <w:color w:val="000000" w:themeColor="text1"/>
          <w:sz w:val="24"/>
          <w:szCs w:val="24"/>
        </w:rPr>
        <w:t xml:space="preserve">greater gross income but smaller operating and net income in 2019 </w:t>
      </w:r>
      <w:r w:rsidR="00E073E7">
        <w:rPr>
          <w:rFonts w:ascii="Times New Roman" w:hAnsi="Times New Roman" w:cs="Times New Roman"/>
          <w:color w:val="000000" w:themeColor="text1"/>
          <w:sz w:val="24"/>
          <w:szCs w:val="24"/>
        </w:rPr>
        <w:t xml:space="preserve">while </w:t>
      </w:r>
      <w:r w:rsidRPr="003A0A70">
        <w:rPr>
          <w:rFonts w:ascii="Times New Roman" w:hAnsi="Times New Roman" w:cs="Times New Roman"/>
          <w:color w:val="000000" w:themeColor="text1"/>
          <w:sz w:val="24"/>
          <w:szCs w:val="24"/>
        </w:rPr>
        <w:t>Activision Blizzard</w:t>
      </w:r>
      <w:r w:rsidR="00E073E7">
        <w:rPr>
          <w:rFonts w:ascii="Times New Roman" w:hAnsi="Times New Roman" w:cs="Times New Roman"/>
          <w:color w:val="000000" w:themeColor="text1"/>
          <w:sz w:val="24"/>
          <w:szCs w:val="24"/>
        </w:rPr>
        <w:t xml:space="preserve"> has</w:t>
      </w:r>
      <w:r w:rsidRPr="003A0A70">
        <w:rPr>
          <w:rFonts w:ascii="Times New Roman" w:hAnsi="Times New Roman" w:cs="Times New Roman"/>
          <w:color w:val="000000" w:themeColor="text1"/>
          <w:sz w:val="24"/>
          <w:szCs w:val="24"/>
        </w:rPr>
        <w:t xml:space="preserve"> a greater amount of revenue per sale. Moreover, EA has a greater return on equity with a significantly less amount of shareholders equity compared with Activision Blizzard. Also, EA has a greater return on assets and looks on paper as a more profitable company. </w:t>
      </w:r>
      <w:commentRangeStart w:id="5"/>
      <w:commentRangeEnd w:id="5"/>
      <w:r w:rsidR="00E073E7">
        <w:rPr>
          <w:rFonts w:ascii="Times New Roman" w:hAnsi="Times New Roman" w:cs="Times New Roman"/>
          <w:color w:val="000000" w:themeColor="text1"/>
          <w:sz w:val="24"/>
          <w:szCs w:val="24"/>
        </w:rPr>
        <w:t xml:space="preserve">EA’s profitability ratios might be better than Activision Blizzard because EA has a smaller </w:t>
      </w:r>
      <w:r w:rsidR="00C8605A">
        <w:rPr>
          <w:rFonts w:ascii="Times New Roman" w:hAnsi="Times New Roman" w:cs="Times New Roman"/>
          <w:color w:val="000000" w:themeColor="text1"/>
          <w:sz w:val="24"/>
          <w:szCs w:val="24"/>
        </w:rPr>
        <w:t>cost of production compared to Activision Blizzard.</w:t>
      </w:r>
      <w:r w:rsidR="00D34679">
        <w:rPr>
          <w:rFonts w:ascii="Times New Roman" w:hAnsi="Times New Roman" w:cs="Times New Roman"/>
          <w:color w:val="000000" w:themeColor="text1"/>
          <w:sz w:val="24"/>
          <w:szCs w:val="24"/>
        </w:rPr>
        <w:t xml:space="preserve"> EA has</w:t>
      </w:r>
      <w:r w:rsidR="00D34679" w:rsidRPr="003A0A70">
        <w:rPr>
          <w:rFonts w:ascii="Times New Roman" w:hAnsi="Times New Roman" w:cs="Times New Roman"/>
          <w:color w:val="000000" w:themeColor="text1"/>
          <w:sz w:val="24"/>
          <w:szCs w:val="24"/>
        </w:rPr>
        <w:t xml:space="preserve"> </w:t>
      </w:r>
      <w:r w:rsidR="00D34679">
        <w:rPr>
          <w:rFonts w:ascii="Times New Roman" w:hAnsi="Times New Roman" w:cs="Times New Roman"/>
          <w:color w:val="000000" w:themeColor="text1"/>
          <w:sz w:val="24"/>
          <w:szCs w:val="24"/>
        </w:rPr>
        <w:t xml:space="preserve">a </w:t>
      </w:r>
      <w:r w:rsidR="00D34679" w:rsidRPr="003A0A70">
        <w:rPr>
          <w:rFonts w:ascii="Times New Roman" w:hAnsi="Times New Roman" w:cs="Times New Roman"/>
          <w:color w:val="000000" w:themeColor="text1"/>
          <w:sz w:val="24"/>
          <w:szCs w:val="24"/>
        </w:rPr>
        <w:t xml:space="preserve">gross profit margin, operating profit margin, and net profit margin </w:t>
      </w:r>
      <w:r w:rsidR="00D34679">
        <w:rPr>
          <w:rFonts w:ascii="Times New Roman" w:hAnsi="Times New Roman" w:cs="Times New Roman"/>
          <w:color w:val="000000" w:themeColor="text1"/>
          <w:sz w:val="24"/>
          <w:szCs w:val="24"/>
        </w:rPr>
        <w:t>of</w:t>
      </w:r>
      <w:r w:rsidR="00D34679" w:rsidRPr="003A0A70">
        <w:rPr>
          <w:rFonts w:ascii="Times New Roman" w:hAnsi="Times New Roman" w:cs="Times New Roman"/>
          <w:color w:val="000000" w:themeColor="text1"/>
          <w:sz w:val="24"/>
          <w:szCs w:val="24"/>
        </w:rPr>
        <w:t xml:space="preserve"> 47.53%, 45.27%, and 79.16% above industry average respectively</w:t>
      </w:r>
      <w:r w:rsidR="00D34679">
        <w:rPr>
          <w:rFonts w:ascii="Times New Roman" w:hAnsi="Times New Roman" w:cs="Times New Roman"/>
          <w:color w:val="000000" w:themeColor="text1"/>
          <w:sz w:val="24"/>
          <w:szCs w:val="24"/>
        </w:rPr>
        <w:t>. Whiles, ATVI</w:t>
      </w:r>
      <w:r w:rsidR="00D34679" w:rsidRPr="003A0A70">
        <w:rPr>
          <w:rFonts w:ascii="Times New Roman" w:hAnsi="Times New Roman" w:cs="Times New Roman"/>
          <w:color w:val="000000" w:themeColor="text1"/>
          <w:sz w:val="24"/>
          <w:szCs w:val="24"/>
        </w:rPr>
        <w:t xml:space="preserve"> </w:t>
      </w:r>
      <w:r w:rsidR="00D34679">
        <w:rPr>
          <w:rFonts w:ascii="Times New Roman" w:hAnsi="Times New Roman" w:cs="Times New Roman"/>
          <w:color w:val="000000" w:themeColor="text1"/>
          <w:sz w:val="24"/>
          <w:szCs w:val="24"/>
        </w:rPr>
        <w:t xml:space="preserve">has a </w:t>
      </w:r>
      <w:r w:rsidR="00D34679" w:rsidRPr="003A0A70">
        <w:rPr>
          <w:rFonts w:ascii="Times New Roman" w:hAnsi="Times New Roman" w:cs="Times New Roman"/>
          <w:color w:val="000000" w:themeColor="text1"/>
          <w:sz w:val="24"/>
          <w:szCs w:val="24"/>
        </w:rPr>
        <w:t xml:space="preserve">gross </w:t>
      </w:r>
      <w:r w:rsidR="00D34679" w:rsidRPr="003A0A70">
        <w:rPr>
          <w:rFonts w:ascii="Times New Roman" w:hAnsi="Times New Roman" w:cs="Times New Roman"/>
          <w:color w:val="000000" w:themeColor="text1"/>
          <w:sz w:val="24"/>
          <w:szCs w:val="24"/>
        </w:rPr>
        <w:lastRenderedPageBreak/>
        <w:t xml:space="preserve">profit margin, operating profit margin, and net profit margin </w:t>
      </w:r>
      <w:r w:rsidR="00D34679">
        <w:rPr>
          <w:rFonts w:ascii="Times New Roman" w:hAnsi="Times New Roman" w:cs="Times New Roman"/>
          <w:color w:val="000000" w:themeColor="text1"/>
          <w:sz w:val="24"/>
          <w:szCs w:val="24"/>
        </w:rPr>
        <w:t>of</w:t>
      </w:r>
      <w:r w:rsidR="00D34679" w:rsidRPr="003A0A70">
        <w:rPr>
          <w:rFonts w:ascii="Times New Roman" w:hAnsi="Times New Roman" w:cs="Times New Roman"/>
          <w:color w:val="000000" w:themeColor="text1"/>
          <w:sz w:val="24"/>
          <w:szCs w:val="24"/>
        </w:rPr>
        <w:t xml:space="preserve"> 36.33%, 78.81%, and 101.59% above industry average respectively.</w:t>
      </w:r>
      <w:r w:rsidR="00D34679">
        <w:rPr>
          <w:rFonts w:ascii="Times New Roman" w:hAnsi="Times New Roman" w:cs="Times New Roman"/>
          <w:color w:val="000000" w:themeColor="text1"/>
          <w:sz w:val="24"/>
          <w:szCs w:val="24"/>
        </w:rPr>
        <w:t xml:space="preserve"> This is good for both companies as they are providing their investors with greater earnings compared to other companies in the industry.</w:t>
      </w:r>
    </w:p>
    <w:p w14:paraId="358E789B" w14:textId="77777777" w:rsidR="007F5A7D" w:rsidRPr="004B569D" w:rsidRDefault="007F5A7D" w:rsidP="004B569D">
      <w:pPr>
        <w:spacing w:line="480" w:lineRule="auto"/>
        <w:contextualSpacing/>
        <w:rPr>
          <w:rFonts w:ascii="Times New Roman" w:hAnsi="Times New Roman" w:cs="Times New Roman"/>
          <w:b/>
          <w:bCs/>
          <w:color w:val="000000" w:themeColor="text1"/>
          <w:sz w:val="24"/>
          <w:szCs w:val="24"/>
        </w:rPr>
      </w:pPr>
      <w:r w:rsidRPr="004B569D">
        <w:rPr>
          <w:rFonts w:ascii="Times New Roman" w:hAnsi="Times New Roman" w:cs="Times New Roman"/>
          <w:b/>
          <w:bCs/>
          <w:color w:val="000000" w:themeColor="text1"/>
          <w:sz w:val="24"/>
          <w:szCs w:val="24"/>
        </w:rPr>
        <w:t xml:space="preserve">Efficiency Ratios </w:t>
      </w:r>
    </w:p>
    <w:p w14:paraId="174B2384" w14:textId="1FD586CF" w:rsidR="00C8605A" w:rsidRPr="003A0A70" w:rsidRDefault="007F5A7D" w:rsidP="00BD7C04">
      <w:pPr>
        <w:spacing w:line="480" w:lineRule="auto"/>
        <w:ind w:firstLine="720"/>
        <w:contextualSpacing/>
        <w:rPr>
          <w:rFonts w:ascii="Times New Roman" w:hAnsi="Times New Roman" w:cs="Times New Roman"/>
          <w:color w:val="000000" w:themeColor="text1"/>
          <w:sz w:val="24"/>
          <w:szCs w:val="24"/>
        </w:rPr>
      </w:pPr>
      <w:r w:rsidRPr="003A0A70">
        <w:rPr>
          <w:rFonts w:ascii="Times New Roman" w:hAnsi="Times New Roman" w:cs="Times New Roman"/>
          <w:color w:val="000000" w:themeColor="text1"/>
          <w:sz w:val="24"/>
          <w:szCs w:val="24"/>
        </w:rPr>
        <w:t>Efficiency ratios are used to analyze how well a firm uses its assets and liabilities to generate revenue. These ratios are usually used to track and analyze the performance of a firm by creditors and banks. Below are the two tables showing the efficiency ratios of the two companies.</w:t>
      </w:r>
    </w:p>
    <w:tbl>
      <w:tblPr>
        <w:tblW w:w="9360" w:type="dxa"/>
        <w:tblLayout w:type="fixed"/>
        <w:tblLook w:val="04A0" w:firstRow="1" w:lastRow="0" w:firstColumn="1" w:lastColumn="0" w:noHBand="0" w:noVBand="1"/>
      </w:tblPr>
      <w:tblGrid>
        <w:gridCol w:w="2338"/>
        <w:gridCol w:w="1170"/>
        <w:gridCol w:w="1170"/>
        <w:gridCol w:w="1171"/>
        <w:gridCol w:w="1170"/>
        <w:gridCol w:w="1170"/>
        <w:gridCol w:w="1171"/>
      </w:tblGrid>
      <w:tr w:rsidR="006950A6" w:rsidRPr="003A0A70" w14:paraId="52762757" w14:textId="77777777" w:rsidTr="00BD7C04">
        <w:trPr>
          <w:trHeight w:val="333"/>
        </w:trPr>
        <w:tc>
          <w:tcPr>
            <w:tcW w:w="9360" w:type="dxa"/>
            <w:gridSpan w:val="7"/>
            <w:tcBorders>
              <w:top w:val="nil"/>
              <w:left w:val="nil"/>
              <w:bottom w:val="single" w:sz="12" w:space="0" w:color="4472C4"/>
              <w:right w:val="nil"/>
            </w:tcBorders>
            <w:shd w:val="clear" w:color="000000" w:fill="8EA9DB"/>
            <w:noWrap/>
            <w:vAlign w:val="bottom"/>
            <w:hideMark/>
          </w:tcPr>
          <w:p w14:paraId="12B204FD" w14:textId="77777777" w:rsidR="006950A6" w:rsidRPr="003A0A70" w:rsidRDefault="006950A6" w:rsidP="006950A6">
            <w:pPr>
              <w:spacing w:after="0" w:line="240" w:lineRule="auto"/>
              <w:jc w:val="center"/>
              <w:rPr>
                <w:rFonts w:ascii="Times New Roman" w:eastAsia="Times New Roman" w:hAnsi="Times New Roman" w:cs="Times New Roman"/>
                <w:b/>
                <w:bCs/>
                <w:color w:val="44546A"/>
                <w:sz w:val="24"/>
                <w:szCs w:val="24"/>
              </w:rPr>
            </w:pPr>
            <w:r w:rsidRPr="003A0A70">
              <w:rPr>
                <w:rFonts w:ascii="Times New Roman" w:eastAsia="Times New Roman" w:hAnsi="Times New Roman" w:cs="Times New Roman"/>
                <w:b/>
                <w:bCs/>
                <w:color w:val="44546A"/>
                <w:sz w:val="24"/>
                <w:szCs w:val="24"/>
              </w:rPr>
              <w:t xml:space="preserve">Electronic Arts - </w:t>
            </w:r>
            <w:r w:rsidR="00D74DBE" w:rsidRPr="003A0A70">
              <w:rPr>
                <w:rFonts w:ascii="Times New Roman" w:eastAsia="Times New Roman" w:hAnsi="Times New Roman" w:cs="Times New Roman"/>
                <w:b/>
                <w:bCs/>
                <w:color w:val="44546A"/>
                <w:sz w:val="24"/>
                <w:szCs w:val="24"/>
              </w:rPr>
              <w:t>Efficiency</w:t>
            </w:r>
            <w:r w:rsidRPr="003A0A70">
              <w:rPr>
                <w:rFonts w:ascii="Times New Roman" w:eastAsia="Times New Roman" w:hAnsi="Times New Roman" w:cs="Times New Roman"/>
                <w:b/>
                <w:bCs/>
                <w:color w:val="44546A"/>
                <w:sz w:val="24"/>
                <w:szCs w:val="24"/>
              </w:rPr>
              <w:t xml:space="preserve"> Ratios</w:t>
            </w:r>
          </w:p>
        </w:tc>
      </w:tr>
      <w:tr w:rsidR="00D74DBE" w:rsidRPr="003A0A70" w14:paraId="53B53E86" w14:textId="77777777" w:rsidTr="00BD7C04">
        <w:trPr>
          <w:trHeight w:val="348"/>
        </w:trPr>
        <w:tc>
          <w:tcPr>
            <w:tcW w:w="2338" w:type="dxa"/>
            <w:tcBorders>
              <w:top w:val="nil"/>
              <w:left w:val="nil"/>
              <w:bottom w:val="nil"/>
              <w:right w:val="nil"/>
            </w:tcBorders>
            <w:shd w:val="clear" w:color="000000" w:fill="4472C4"/>
            <w:noWrap/>
            <w:vAlign w:val="bottom"/>
            <w:hideMark/>
          </w:tcPr>
          <w:p w14:paraId="19D00EBF" w14:textId="77777777" w:rsidR="006950A6" w:rsidRPr="003A0A70" w:rsidRDefault="006950A6" w:rsidP="006950A6">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 </w:t>
            </w:r>
          </w:p>
        </w:tc>
        <w:tc>
          <w:tcPr>
            <w:tcW w:w="1170" w:type="dxa"/>
            <w:tcBorders>
              <w:top w:val="single" w:sz="4" w:space="0" w:color="8EA9DB"/>
              <w:left w:val="single" w:sz="4" w:space="0" w:color="8EA9DB"/>
              <w:bottom w:val="single" w:sz="4" w:space="0" w:color="8EA9DB"/>
              <w:right w:val="nil"/>
            </w:tcBorders>
            <w:shd w:val="clear" w:color="4472C4" w:fill="4472C4"/>
            <w:noWrap/>
            <w:vAlign w:val="bottom"/>
            <w:hideMark/>
          </w:tcPr>
          <w:p w14:paraId="5DD27C91" w14:textId="77777777" w:rsidR="006950A6" w:rsidRPr="003A0A70" w:rsidRDefault="006950A6" w:rsidP="00D74DB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2019</w:t>
            </w:r>
          </w:p>
        </w:tc>
        <w:tc>
          <w:tcPr>
            <w:tcW w:w="1170" w:type="dxa"/>
            <w:tcBorders>
              <w:top w:val="single" w:sz="4" w:space="0" w:color="8EA9DB"/>
              <w:left w:val="nil"/>
              <w:bottom w:val="single" w:sz="4" w:space="0" w:color="8EA9DB"/>
              <w:right w:val="nil"/>
            </w:tcBorders>
            <w:shd w:val="clear" w:color="4472C4" w:fill="4472C4"/>
            <w:noWrap/>
            <w:vAlign w:val="bottom"/>
            <w:hideMark/>
          </w:tcPr>
          <w:p w14:paraId="6F01B5F1" w14:textId="77777777" w:rsidR="006950A6" w:rsidRPr="003A0A70" w:rsidRDefault="006950A6" w:rsidP="00D74DB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2018</w:t>
            </w:r>
          </w:p>
        </w:tc>
        <w:tc>
          <w:tcPr>
            <w:tcW w:w="1171" w:type="dxa"/>
            <w:tcBorders>
              <w:top w:val="single" w:sz="4" w:space="0" w:color="8EA9DB"/>
              <w:left w:val="nil"/>
              <w:bottom w:val="single" w:sz="4" w:space="0" w:color="8EA9DB"/>
              <w:right w:val="nil"/>
            </w:tcBorders>
            <w:shd w:val="clear" w:color="4472C4" w:fill="4472C4"/>
            <w:noWrap/>
            <w:vAlign w:val="bottom"/>
            <w:hideMark/>
          </w:tcPr>
          <w:p w14:paraId="2FADD4A4" w14:textId="77777777" w:rsidR="006950A6" w:rsidRPr="003A0A70" w:rsidRDefault="006950A6" w:rsidP="00D74DB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2017</w:t>
            </w:r>
          </w:p>
        </w:tc>
        <w:tc>
          <w:tcPr>
            <w:tcW w:w="1170" w:type="dxa"/>
            <w:tcBorders>
              <w:top w:val="single" w:sz="4" w:space="0" w:color="8EA9DB"/>
              <w:left w:val="nil"/>
              <w:bottom w:val="single" w:sz="4" w:space="0" w:color="8EA9DB"/>
              <w:right w:val="nil"/>
            </w:tcBorders>
            <w:shd w:val="clear" w:color="4472C4" w:fill="4472C4"/>
            <w:noWrap/>
            <w:vAlign w:val="bottom"/>
            <w:hideMark/>
          </w:tcPr>
          <w:p w14:paraId="3AC3553F" w14:textId="77777777" w:rsidR="006950A6" w:rsidRPr="003A0A70" w:rsidRDefault="006950A6" w:rsidP="00D74DB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2016</w:t>
            </w:r>
          </w:p>
        </w:tc>
        <w:tc>
          <w:tcPr>
            <w:tcW w:w="1170" w:type="dxa"/>
            <w:tcBorders>
              <w:top w:val="single" w:sz="4" w:space="0" w:color="8EA9DB"/>
              <w:left w:val="nil"/>
              <w:bottom w:val="single" w:sz="4" w:space="0" w:color="8EA9DB"/>
              <w:right w:val="nil"/>
            </w:tcBorders>
            <w:shd w:val="clear" w:color="4472C4" w:fill="4472C4"/>
            <w:noWrap/>
            <w:vAlign w:val="bottom"/>
            <w:hideMark/>
          </w:tcPr>
          <w:p w14:paraId="72AA182B" w14:textId="77777777" w:rsidR="006950A6" w:rsidRPr="003A0A70" w:rsidRDefault="006950A6" w:rsidP="00D74DB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2015</w:t>
            </w:r>
          </w:p>
        </w:tc>
        <w:tc>
          <w:tcPr>
            <w:tcW w:w="1171" w:type="dxa"/>
            <w:tcBorders>
              <w:top w:val="single" w:sz="4" w:space="0" w:color="8EA9DB"/>
              <w:left w:val="nil"/>
              <w:bottom w:val="single" w:sz="4" w:space="0" w:color="8EA9DB"/>
              <w:right w:val="single" w:sz="4" w:space="0" w:color="8EA9DB"/>
            </w:tcBorders>
            <w:shd w:val="clear" w:color="4472C4" w:fill="4472C4"/>
            <w:noWrap/>
            <w:vAlign w:val="bottom"/>
            <w:hideMark/>
          </w:tcPr>
          <w:p w14:paraId="026E1200" w14:textId="77777777" w:rsidR="006950A6" w:rsidRPr="003A0A70" w:rsidRDefault="006950A6" w:rsidP="00D74DB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Industry Average</w:t>
            </w:r>
          </w:p>
        </w:tc>
      </w:tr>
      <w:tr w:rsidR="00D74DBE" w:rsidRPr="003A0A70" w14:paraId="2412E4A1" w14:textId="77777777" w:rsidTr="00BD7C04">
        <w:trPr>
          <w:trHeight w:val="300"/>
        </w:trPr>
        <w:tc>
          <w:tcPr>
            <w:tcW w:w="2338" w:type="dxa"/>
            <w:tcBorders>
              <w:top w:val="nil"/>
              <w:left w:val="nil"/>
              <w:bottom w:val="nil"/>
              <w:right w:val="nil"/>
            </w:tcBorders>
            <w:shd w:val="clear" w:color="000000" w:fill="0070C0"/>
            <w:noWrap/>
            <w:vAlign w:val="bottom"/>
            <w:hideMark/>
          </w:tcPr>
          <w:p w14:paraId="6B2C812E"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Inventory Turnover</w:t>
            </w:r>
          </w:p>
        </w:tc>
        <w:tc>
          <w:tcPr>
            <w:tcW w:w="1170" w:type="dxa"/>
            <w:tcBorders>
              <w:top w:val="single" w:sz="4" w:space="0" w:color="8EA9DB"/>
              <w:left w:val="single" w:sz="4" w:space="0" w:color="8EA9DB"/>
              <w:bottom w:val="single" w:sz="4" w:space="0" w:color="8EA9DB"/>
              <w:right w:val="nil"/>
            </w:tcBorders>
            <w:shd w:val="clear" w:color="D9E1F2" w:fill="D9E1F2"/>
            <w:noWrap/>
            <w:vAlign w:val="bottom"/>
            <w:hideMark/>
          </w:tcPr>
          <w:p w14:paraId="2564C523"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170" w:type="dxa"/>
            <w:tcBorders>
              <w:top w:val="single" w:sz="4" w:space="0" w:color="8EA9DB"/>
              <w:left w:val="nil"/>
              <w:bottom w:val="single" w:sz="4" w:space="0" w:color="8EA9DB"/>
              <w:right w:val="nil"/>
            </w:tcBorders>
            <w:shd w:val="clear" w:color="D9E1F2" w:fill="D9E1F2"/>
            <w:noWrap/>
            <w:vAlign w:val="bottom"/>
            <w:hideMark/>
          </w:tcPr>
          <w:p w14:paraId="25EB9A45"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171" w:type="dxa"/>
            <w:tcBorders>
              <w:top w:val="single" w:sz="4" w:space="0" w:color="8EA9DB"/>
              <w:left w:val="nil"/>
              <w:bottom w:val="single" w:sz="4" w:space="0" w:color="8EA9DB"/>
              <w:right w:val="nil"/>
            </w:tcBorders>
            <w:shd w:val="clear" w:color="D9E1F2" w:fill="D9E1F2"/>
            <w:noWrap/>
            <w:vAlign w:val="bottom"/>
            <w:hideMark/>
          </w:tcPr>
          <w:p w14:paraId="5A8A18A4"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170" w:type="dxa"/>
            <w:tcBorders>
              <w:top w:val="single" w:sz="4" w:space="0" w:color="8EA9DB"/>
              <w:left w:val="nil"/>
              <w:bottom w:val="single" w:sz="4" w:space="0" w:color="8EA9DB"/>
              <w:right w:val="nil"/>
            </w:tcBorders>
            <w:shd w:val="clear" w:color="D9E1F2" w:fill="D9E1F2"/>
            <w:noWrap/>
            <w:vAlign w:val="bottom"/>
            <w:hideMark/>
          </w:tcPr>
          <w:p w14:paraId="7EE021AB"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41.03</w:t>
            </w:r>
          </w:p>
        </w:tc>
        <w:tc>
          <w:tcPr>
            <w:tcW w:w="1170" w:type="dxa"/>
            <w:tcBorders>
              <w:top w:val="single" w:sz="4" w:space="0" w:color="8EA9DB"/>
              <w:left w:val="nil"/>
              <w:bottom w:val="single" w:sz="4" w:space="0" w:color="8EA9DB"/>
              <w:right w:val="nil"/>
            </w:tcBorders>
            <w:shd w:val="clear" w:color="D9E1F2" w:fill="D9E1F2"/>
            <w:noWrap/>
            <w:vAlign w:val="bottom"/>
            <w:hideMark/>
          </w:tcPr>
          <w:p w14:paraId="77789202"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39.69</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14:paraId="67863E5A"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p>
        </w:tc>
      </w:tr>
      <w:tr w:rsidR="00D74DBE" w:rsidRPr="003A0A70" w14:paraId="11CD00C1" w14:textId="77777777" w:rsidTr="00BD7C04">
        <w:trPr>
          <w:trHeight w:val="300"/>
        </w:trPr>
        <w:tc>
          <w:tcPr>
            <w:tcW w:w="2338" w:type="dxa"/>
            <w:tcBorders>
              <w:top w:val="nil"/>
              <w:left w:val="nil"/>
              <w:bottom w:val="nil"/>
              <w:right w:val="nil"/>
            </w:tcBorders>
            <w:shd w:val="clear" w:color="000000" w:fill="0070C0"/>
            <w:noWrap/>
            <w:vAlign w:val="bottom"/>
            <w:hideMark/>
          </w:tcPr>
          <w:p w14:paraId="03D9B77A"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Average Age of Inventory (Days)</w:t>
            </w:r>
          </w:p>
        </w:tc>
        <w:tc>
          <w:tcPr>
            <w:tcW w:w="1170" w:type="dxa"/>
            <w:tcBorders>
              <w:top w:val="single" w:sz="4" w:space="0" w:color="8EA9DB"/>
              <w:left w:val="single" w:sz="4" w:space="0" w:color="8EA9DB"/>
              <w:bottom w:val="single" w:sz="4" w:space="0" w:color="8EA9DB"/>
              <w:right w:val="nil"/>
            </w:tcBorders>
            <w:shd w:val="clear" w:color="auto" w:fill="auto"/>
            <w:noWrap/>
            <w:vAlign w:val="bottom"/>
            <w:hideMark/>
          </w:tcPr>
          <w:p w14:paraId="526085A2"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170" w:type="dxa"/>
            <w:tcBorders>
              <w:top w:val="single" w:sz="4" w:space="0" w:color="8EA9DB"/>
              <w:left w:val="nil"/>
              <w:bottom w:val="single" w:sz="4" w:space="0" w:color="8EA9DB"/>
              <w:right w:val="nil"/>
            </w:tcBorders>
            <w:shd w:val="clear" w:color="auto" w:fill="auto"/>
            <w:noWrap/>
            <w:vAlign w:val="bottom"/>
            <w:hideMark/>
          </w:tcPr>
          <w:p w14:paraId="5BF3682C"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171" w:type="dxa"/>
            <w:tcBorders>
              <w:top w:val="single" w:sz="4" w:space="0" w:color="8EA9DB"/>
              <w:left w:val="nil"/>
              <w:bottom w:val="single" w:sz="4" w:space="0" w:color="8EA9DB"/>
              <w:right w:val="nil"/>
            </w:tcBorders>
            <w:shd w:val="clear" w:color="auto" w:fill="auto"/>
            <w:noWrap/>
            <w:vAlign w:val="bottom"/>
            <w:hideMark/>
          </w:tcPr>
          <w:p w14:paraId="23F05566"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170" w:type="dxa"/>
            <w:tcBorders>
              <w:top w:val="single" w:sz="4" w:space="0" w:color="8EA9DB"/>
              <w:left w:val="nil"/>
              <w:bottom w:val="single" w:sz="4" w:space="0" w:color="8EA9DB"/>
              <w:right w:val="nil"/>
            </w:tcBorders>
            <w:shd w:val="clear" w:color="auto" w:fill="auto"/>
            <w:noWrap/>
            <w:vAlign w:val="bottom"/>
            <w:hideMark/>
          </w:tcPr>
          <w:p w14:paraId="5608F5BB"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8.90</w:t>
            </w:r>
          </w:p>
        </w:tc>
        <w:tc>
          <w:tcPr>
            <w:tcW w:w="1170" w:type="dxa"/>
            <w:tcBorders>
              <w:top w:val="single" w:sz="4" w:space="0" w:color="8EA9DB"/>
              <w:left w:val="nil"/>
              <w:bottom w:val="single" w:sz="4" w:space="0" w:color="8EA9DB"/>
              <w:right w:val="nil"/>
            </w:tcBorders>
            <w:shd w:val="clear" w:color="auto" w:fill="auto"/>
            <w:noWrap/>
            <w:vAlign w:val="bottom"/>
            <w:hideMark/>
          </w:tcPr>
          <w:p w14:paraId="30C7F24F"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9.20</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14:paraId="01A77F58"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p>
        </w:tc>
      </w:tr>
      <w:tr w:rsidR="00D74DBE" w:rsidRPr="003A0A70" w14:paraId="3A7FDB93" w14:textId="77777777" w:rsidTr="00BD7C04">
        <w:trPr>
          <w:trHeight w:val="300"/>
        </w:trPr>
        <w:tc>
          <w:tcPr>
            <w:tcW w:w="2338" w:type="dxa"/>
            <w:tcBorders>
              <w:top w:val="nil"/>
              <w:left w:val="nil"/>
              <w:bottom w:val="nil"/>
              <w:right w:val="nil"/>
            </w:tcBorders>
            <w:shd w:val="clear" w:color="000000" w:fill="0070C0"/>
            <w:noWrap/>
            <w:vAlign w:val="bottom"/>
            <w:hideMark/>
          </w:tcPr>
          <w:p w14:paraId="00A29EEC"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Collection Period (Days)</w:t>
            </w:r>
          </w:p>
        </w:tc>
        <w:tc>
          <w:tcPr>
            <w:tcW w:w="1170" w:type="dxa"/>
            <w:tcBorders>
              <w:top w:val="single" w:sz="4" w:space="0" w:color="8EA9DB"/>
              <w:left w:val="single" w:sz="4" w:space="0" w:color="8EA9DB"/>
              <w:bottom w:val="single" w:sz="4" w:space="0" w:color="8EA9DB"/>
              <w:right w:val="nil"/>
            </w:tcBorders>
            <w:shd w:val="clear" w:color="D9E1F2" w:fill="D9E1F2"/>
            <w:noWrap/>
            <w:vAlign w:val="bottom"/>
            <w:hideMark/>
          </w:tcPr>
          <w:p w14:paraId="79B76231"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45.94</w:t>
            </w:r>
          </w:p>
        </w:tc>
        <w:tc>
          <w:tcPr>
            <w:tcW w:w="1170" w:type="dxa"/>
            <w:tcBorders>
              <w:top w:val="single" w:sz="4" w:space="0" w:color="8EA9DB"/>
              <w:left w:val="nil"/>
              <w:bottom w:val="single" w:sz="4" w:space="0" w:color="8EA9DB"/>
              <w:right w:val="nil"/>
            </w:tcBorders>
            <w:shd w:val="clear" w:color="D9E1F2" w:fill="D9E1F2"/>
            <w:noWrap/>
            <w:vAlign w:val="bottom"/>
            <w:hideMark/>
          </w:tcPr>
          <w:p w14:paraId="0B3ED892"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27.29</w:t>
            </w:r>
          </w:p>
        </w:tc>
        <w:tc>
          <w:tcPr>
            <w:tcW w:w="1171" w:type="dxa"/>
            <w:tcBorders>
              <w:top w:val="single" w:sz="4" w:space="0" w:color="8EA9DB"/>
              <w:left w:val="nil"/>
              <w:bottom w:val="single" w:sz="4" w:space="0" w:color="8EA9DB"/>
              <w:right w:val="nil"/>
            </w:tcBorders>
            <w:shd w:val="clear" w:color="D9E1F2" w:fill="D9E1F2"/>
            <w:noWrap/>
            <w:vAlign w:val="bottom"/>
            <w:hideMark/>
          </w:tcPr>
          <w:p w14:paraId="05070986"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27.05</w:t>
            </w:r>
          </w:p>
        </w:tc>
        <w:tc>
          <w:tcPr>
            <w:tcW w:w="1170" w:type="dxa"/>
            <w:tcBorders>
              <w:top w:val="single" w:sz="4" w:space="0" w:color="8EA9DB"/>
              <w:left w:val="nil"/>
              <w:bottom w:val="single" w:sz="4" w:space="0" w:color="8EA9DB"/>
              <w:right w:val="nil"/>
            </w:tcBorders>
            <w:shd w:val="clear" w:color="D9E1F2" w:fill="D9E1F2"/>
            <w:noWrap/>
            <w:vAlign w:val="bottom"/>
            <w:hideMark/>
          </w:tcPr>
          <w:p w14:paraId="7A04FACB"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19.35</w:t>
            </w:r>
          </w:p>
        </w:tc>
        <w:tc>
          <w:tcPr>
            <w:tcW w:w="1170" w:type="dxa"/>
            <w:tcBorders>
              <w:top w:val="single" w:sz="4" w:space="0" w:color="8EA9DB"/>
              <w:left w:val="nil"/>
              <w:bottom w:val="single" w:sz="4" w:space="0" w:color="8EA9DB"/>
              <w:right w:val="nil"/>
            </w:tcBorders>
            <w:shd w:val="clear" w:color="D9E1F2" w:fill="D9E1F2"/>
            <w:noWrap/>
            <w:vAlign w:val="bottom"/>
            <w:hideMark/>
          </w:tcPr>
          <w:p w14:paraId="2C1648E4"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29.26</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14:paraId="6DF71224"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p>
        </w:tc>
      </w:tr>
      <w:tr w:rsidR="00D74DBE" w:rsidRPr="003A0A70" w14:paraId="0AFCEBE1" w14:textId="77777777" w:rsidTr="00BD7C04">
        <w:trPr>
          <w:trHeight w:val="300"/>
        </w:trPr>
        <w:tc>
          <w:tcPr>
            <w:tcW w:w="2338" w:type="dxa"/>
            <w:tcBorders>
              <w:top w:val="nil"/>
              <w:left w:val="nil"/>
              <w:bottom w:val="nil"/>
              <w:right w:val="nil"/>
            </w:tcBorders>
            <w:shd w:val="clear" w:color="000000" w:fill="0070C0"/>
            <w:noWrap/>
            <w:vAlign w:val="bottom"/>
            <w:hideMark/>
          </w:tcPr>
          <w:p w14:paraId="561770D7"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Payables Period (Days)</w:t>
            </w:r>
          </w:p>
        </w:tc>
        <w:tc>
          <w:tcPr>
            <w:tcW w:w="1170" w:type="dxa"/>
            <w:tcBorders>
              <w:top w:val="single" w:sz="4" w:space="0" w:color="8EA9DB"/>
              <w:left w:val="single" w:sz="4" w:space="0" w:color="8EA9DB"/>
              <w:bottom w:val="single" w:sz="4" w:space="0" w:color="8EA9DB"/>
              <w:right w:val="nil"/>
            </w:tcBorders>
            <w:shd w:val="clear" w:color="auto" w:fill="auto"/>
            <w:noWrap/>
            <w:vAlign w:val="bottom"/>
            <w:hideMark/>
          </w:tcPr>
          <w:p w14:paraId="5C50CB29"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31.20</w:t>
            </w:r>
          </w:p>
        </w:tc>
        <w:tc>
          <w:tcPr>
            <w:tcW w:w="1170" w:type="dxa"/>
            <w:tcBorders>
              <w:top w:val="single" w:sz="4" w:space="0" w:color="8EA9DB"/>
              <w:left w:val="nil"/>
              <w:bottom w:val="single" w:sz="4" w:space="0" w:color="8EA9DB"/>
              <w:right w:val="nil"/>
            </w:tcBorders>
            <w:shd w:val="clear" w:color="auto" w:fill="auto"/>
            <w:noWrap/>
            <w:vAlign w:val="bottom"/>
            <w:hideMark/>
          </w:tcPr>
          <w:p w14:paraId="228EC2AE"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13.72</w:t>
            </w:r>
          </w:p>
        </w:tc>
        <w:tc>
          <w:tcPr>
            <w:tcW w:w="1171" w:type="dxa"/>
            <w:tcBorders>
              <w:top w:val="single" w:sz="4" w:space="0" w:color="8EA9DB"/>
              <w:left w:val="nil"/>
              <w:bottom w:val="single" w:sz="4" w:space="0" w:color="8EA9DB"/>
              <w:right w:val="nil"/>
            </w:tcBorders>
            <w:shd w:val="clear" w:color="auto" w:fill="auto"/>
            <w:noWrap/>
            <w:vAlign w:val="bottom"/>
            <w:hideMark/>
          </w:tcPr>
          <w:p w14:paraId="59CF5E6F"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24.46</w:t>
            </w:r>
          </w:p>
        </w:tc>
        <w:tc>
          <w:tcPr>
            <w:tcW w:w="1170" w:type="dxa"/>
            <w:tcBorders>
              <w:top w:val="single" w:sz="4" w:space="0" w:color="8EA9DB"/>
              <w:left w:val="nil"/>
              <w:bottom w:val="single" w:sz="4" w:space="0" w:color="8EA9DB"/>
              <w:right w:val="nil"/>
            </w:tcBorders>
            <w:shd w:val="clear" w:color="auto" w:fill="auto"/>
            <w:noWrap/>
            <w:vAlign w:val="bottom"/>
            <w:hideMark/>
          </w:tcPr>
          <w:p w14:paraId="03669E45"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23.99</w:t>
            </w:r>
          </w:p>
        </w:tc>
        <w:tc>
          <w:tcPr>
            <w:tcW w:w="1170" w:type="dxa"/>
            <w:tcBorders>
              <w:top w:val="single" w:sz="4" w:space="0" w:color="8EA9DB"/>
              <w:left w:val="nil"/>
              <w:bottom w:val="single" w:sz="4" w:space="0" w:color="8EA9DB"/>
              <w:right w:val="nil"/>
            </w:tcBorders>
            <w:shd w:val="clear" w:color="auto" w:fill="auto"/>
            <w:noWrap/>
            <w:vAlign w:val="bottom"/>
            <w:hideMark/>
          </w:tcPr>
          <w:p w14:paraId="12D27DA8"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17.37</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14:paraId="302B5F8A"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p>
        </w:tc>
      </w:tr>
      <w:tr w:rsidR="00D74DBE" w:rsidRPr="003A0A70" w14:paraId="51693CFF" w14:textId="77777777" w:rsidTr="00BD7C04">
        <w:trPr>
          <w:trHeight w:val="300"/>
        </w:trPr>
        <w:tc>
          <w:tcPr>
            <w:tcW w:w="2338" w:type="dxa"/>
            <w:tcBorders>
              <w:top w:val="nil"/>
              <w:left w:val="nil"/>
              <w:bottom w:val="nil"/>
              <w:right w:val="nil"/>
            </w:tcBorders>
            <w:shd w:val="clear" w:color="000000" w:fill="0070C0"/>
            <w:noWrap/>
            <w:vAlign w:val="bottom"/>
            <w:hideMark/>
          </w:tcPr>
          <w:p w14:paraId="23F1D9CD"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 xml:space="preserve">Fixed Asset Turnover </w:t>
            </w:r>
          </w:p>
        </w:tc>
        <w:tc>
          <w:tcPr>
            <w:tcW w:w="1170" w:type="dxa"/>
            <w:tcBorders>
              <w:top w:val="single" w:sz="4" w:space="0" w:color="8EA9DB"/>
              <w:left w:val="single" w:sz="4" w:space="0" w:color="8EA9DB"/>
              <w:bottom w:val="single" w:sz="4" w:space="0" w:color="8EA9DB"/>
              <w:right w:val="nil"/>
            </w:tcBorders>
            <w:shd w:val="clear" w:color="D9E1F2" w:fill="D9E1F2"/>
            <w:noWrap/>
            <w:vAlign w:val="bottom"/>
            <w:hideMark/>
          </w:tcPr>
          <w:p w14:paraId="103D56C1"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11.05</w:t>
            </w:r>
          </w:p>
        </w:tc>
        <w:tc>
          <w:tcPr>
            <w:tcW w:w="1170" w:type="dxa"/>
            <w:tcBorders>
              <w:top w:val="single" w:sz="4" w:space="0" w:color="8EA9DB"/>
              <w:left w:val="nil"/>
              <w:bottom w:val="single" w:sz="4" w:space="0" w:color="8EA9DB"/>
              <w:right w:val="nil"/>
            </w:tcBorders>
            <w:shd w:val="clear" w:color="D9E1F2" w:fill="D9E1F2"/>
            <w:noWrap/>
            <w:vAlign w:val="bottom"/>
            <w:hideMark/>
          </w:tcPr>
          <w:p w14:paraId="1C35F651"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11.37</w:t>
            </w:r>
          </w:p>
        </w:tc>
        <w:tc>
          <w:tcPr>
            <w:tcW w:w="1171" w:type="dxa"/>
            <w:tcBorders>
              <w:top w:val="single" w:sz="4" w:space="0" w:color="8EA9DB"/>
              <w:left w:val="nil"/>
              <w:bottom w:val="single" w:sz="4" w:space="0" w:color="8EA9DB"/>
              <w:right w:val="nil"/>
            </w:tcBorders>
            <w:shd w:val="clear" w:color="D9E1F2" w:fill="D9E1F2"/>
            <w:noWrap/>
            <w:vAlign w:val="bottom"/>
            <w:hideMark/>
          </w:tcPr>
          <w:p w14:paraId="5D3750D9"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11.16</w:t>
            </w:r>
          </w:p>
        </w:tc>
        <w:tc>
          <w:tcPr>
            <w:tcW w:w="1170" w:type="dxa"/>
            <w:tcBorders>
              <w:top w:val="single" w:sz="4" w:space="0" w:color="8EA9DB"/>
              <w:left w:val="nil"/>
              <w:bottom w:val="single" w:sz="4" w:space="0" w:color="8EA9DB"/>
              <w:right w:val="nil"/>
            </w:tcBorders>
            <w:shd w:val="clear" w:color="D9E1F2" w:fill="D9E1F2"/>
            <w:noWrap/>
            <w:vAlign w:val="bottom"/>
            <w:hideMark/>
          </w:tcPr>
          <w:p w14:paraId="2E25835A"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10.01</w:t>
            </w:r>
          </w:p>
        </w:tc>
        <w:tc>
          <w:tcPr>
            <w:tcW w:w="1170" w:type="dxa"/>
            <w:tcBorders>
              <w:top w:val="single" w:sz="4" w:space="0" w:color="8EA9DB"/>
              <w:left w:val="nil"/>
              <w:bottom w:val="single" w:sz="4" w:space="0" w:color="8EA9DB"/>
              <w:right w:val="nil"/>
            </w:tcBorders>
            <w:shd w:val="clear" w:color="D9E1F2" w:fill="D9E1F2"/>
            <w:noWrap/>
            <w:vAlign w:val="bottom"/>
            <w:hideMark/>
          </w:tcPr>
          <w:p w14:paraId="702CEA76"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9.84</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14:paraId="062B97BF"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p>
        </w:tc>
      </w:tr>
      <w:tr w:rsidR="00D74DBE" w:rsidRPr="003A0A70" w14:paraId="5B471650" w14:textId="77777777" w:rsidTr="00BD7C04">
        <w:trPr>
          <w:trHeight w:val="300"/>
        </w:trPr>
        <w:tc>
          <w:tcPr>
            <w:tcW w:w="2338" w:type="dxa"/>
            <w:tcBorders>
              <w:top w:val="nil"/>
              <w:left w:val="nil"/>
              <w:bottom w:val="nil"/>
              <w:right w:val="nil"/>
            </w:tcBorders>
            <w:shd w:val="clear" w:color="000000" w:fill="0070C0"/>
            <w:noWrap/>
            <w:vAlign w:val="bottom"/>
            <w:hideMark/>
          </w:tcPr>
          <w:p w14:paraId="4D55EED5"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Total Asset Turnover</w:t>
            </w:r>
          </w:p>
        </w:tc>
        <w:tc>
          <w:tcPr>
            <w:tcW w:w="1170" w:type="dxa"/>
            <w:tcBorders>
              <w:top w:val="single" w:sz="4" w:space="0" w:color="8EA9DB"/>
              <w:left w:val="single" w:sz="4" w:space="0" w:color="8EA9DB"/>
              <w:bottom w:val="single" w:sz="4" w:space="0" w:color="8EA9DB"/>
              <w:right w:val="nil"/>
            </w:tcBorders>
            <w:shd w:val="clear" w:color="auto" w:fill="auto"/>
            <w:noWrap/>
            <w:vAlign w:val="bottom"/>
            <w:hideMark/>
          </w:tcPr>
          <w:p w14:paraId="74B8464E"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0.55</w:t>
            </w:r>
          </w:p>
        </w:tc>
        <w:tc>
          <w:tcPr>
            <w:tcW w:w="1170" w:type="dxa"/>
            <w:tcBorders>
              <w:top w:val="single" w:sz="4" w:space="0" w:color="8EA9DB"/>
              <w:left w:val="nil"/>
              <w:bottom w:val="single" w:sz="4" w:space="0" w:color="8EA9DB"/>
              <w:right w:val="nil"/>
            </w:tcBorders>
            <w:shd w:val="clear" w:color="auto" w:fill="auto"/>
            <w:noWrap/>
            <w:vAlign w:val="bottom"/>
            <w:hideMark/>
          </w:tcPr>
          <w:p w14:paraId="5C6E11E0"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0.60</w:t>
            </w:r>
          </w:p>
        </w:tc>
        <w:tc>
          <w:tcPr>
            <w:tcW w:w="1171" w:type="dxa"/>
            <w:tcBorders>
              <w:top w:val="single" w:sz="4" w:space="0" w:color="8EA9DB"/>
              <w:left w:val="nil"/>
              <w:bottom w:val="single" w:sz="4" w:space="0" w:color="8EA9DB"/>
              <w:right w:val="nil"/>
            </w:tcBorders>
            <w:shd w:val="clear" w:color="auto" w:fill="auto"/>
            <w:noWrap/>
            <w:vAlign w:val="bottom"/>
            <w:hideMark/>
          </w:tcPr>
          <w:p w14:paraId="05B09BD1"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0.63</w:t>
            </w:r>
          </w:p>
        </w:tc>
        <w:tc>
          <w:tcPr>
            <w:tcW w:w="1170" w:type="dxa"/>
            <w:tcBorders>
              <w:top w:val="single" w:sz="4" w:space="0" w:color="8EA9DB"/>
              <w:left w:val="nil"/>
              <w:bottom w:val="single" w:sz="4" w:space="0" w:color="8EA9DB"/>
              <w:right w:val="nil"/>
            </w:tcBorders>
            <w:shd w:val="clear" w:color="auto" w:fill="auto"/>
            <w:noWrap/>
            <w:vAlign w:val="bottom"/>
            <w:hideMark/>
          </w:tcPr>
          <w:p w14:paraId="63564171"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0.62</w:t>
            </w:r>
          </w:p>
        </w:tc>
        <w:tc>
          <w:tcPr>
            <w:tcW w:w="1170" w:type="dxa"/>
            <w:tcBorders>
              <w:top w:val="single" w:sz="4" w:space="0" w:color="8EA9DB"/>
              <w:left w:val="nil"/>
              <w:bottom w:val="single" w:sz="4" w:space="0" w:color="8EA9DB"/>
              <w:right w:val="nil"/>
            </w:tcBorders>
            <w:shd w:val="clear" w:color="auto" w:fill="auto"/>
            <w:noWrap/>
            <w:vAlign w:val="bottom"/>
            <w:hideMark/>
          </w:tcPr>
          <w:p w14:paraId="7F1985CE"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0.73</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14:paraId="112F3669"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w:t>
            </w:r>
          </w:p>
        </w:tc>
      </w:tr>
    </w:tbl>
    <w:p w14:paraId="512FCF6E" w14:textId="77777777" w:rsidR="006950A6" w:rsidRPr="003A0A70" w:rsidRDefault="006950A6" w:rsidP="005E47CB">
      <w:pPr>
        <w:rPr>
          <w:rFonts w:ascii="Times New Roman" w:hAnsi="Times New Roman" w:cs="Times New Roman"/>
          <w:color w:val="000000" w:themeColor="text1"/>
          <w:sz w:val="24"/>
          <w:szCs w:val="24"/>
        </w:rPr>
      </w:pPr>
    </w:p>
    <w:tbl>
      <w:tblPr>
        <w:tblW w:w="9360" w:type="dxa"/>
        <w:tblLayout w:type="fixed"/>
        <w:tblLook w:val="04A0" w:firstRow="1" w:lastRow="0" w:firstColumn="1" w:lastColumn="0" w:noHBand="0" w:noVBand="1"/>
      </w:tblPr>
      <w:tblGrid>
        <w:gridCol w:w="2330"/>
        <w:gridCol w:w="1171"/>
        <w:gridCol w:w="1172"/>
        <w:gridCol w:w="1172"/>
        <w:gridCol w:w="1171"/>
        <w:gridCol w:w="274"/>
        <w:gridCol w:w="898"/>
        <w:gridCol w:w="1172"/>
      </w:tblGrid>
      <w:tr w:rsidR="006950A6" w:rsidRPr="003A0A70" w14:paraId="2812FD50" w14:textId="77777777" w:rsidTr="00BD7C04">
        <w:trPr>
          <w:trHeight w:val="288"/>
        </w:trPr>
        <w:tc>
          <w:tcPr>
            <w:tcW w:w="7290" w:type="dxa"/>
            <w:gridSpan w:val="6"/>
            <w:tcBorders>
              <w:top w:val="nil"/>
              <w:left w:val="nil"/>
              <w:bottom w:val="single" w:sz="12" w:space="0" w:color="4472C4"/>
              <w:right w:val="nil"/>
            </w:tcBorders>
            <w:shd w:val="clear" w:color="000000" w:fill="8EA9DB"/>
            <w:noWrap/>
            <w:vAlign w:val="bottom"/>
            <w:hideMark/>
          </w:tcPr>
          <w:p w14:paraId="32359D08" w14:textId="77777777" w:rsidR="006950A6" w:rsidRPr="003A0A70" w:rsidRDefault="00AD71A9" w:rsidP="006950A6">
            <w:pPr>
              <w:spacing w:after="0" w:line="240" w:lineRule="auto"/>
              <w:jc w:val="center"/>
              <w:rPr>
                <w:rFonts w:ascii="Times New Roman" w:eastAsia="Times New Roman" w:hAnsi="Times New Roman" w:cs="Times New Roman"/>
                <w:b/>
                <w:bCs/>
                <w:color w:val="44546A"/>
                <w:sz w:val="24"/>
                <w:szCs w:val="24"/>
              </w:rPr>
            </w:pPr>
            <w:r w:rsidRPr="003A0A70">
              <w:rPr>
                <w:rFonts w:ascii="Times New Roman" w:eastAsia="Times New Roman" w:hAnsi="Times New Roman" w:cs="Times New Roman"/>
                <w:b/>
                <w:bCs/>
                <w:color w:val="44546A"/>
                <w:sz w:val="24"/>
                <w:szCs w:val="24"/>
              </w:rPr>
              <w:t xml:space="preserve">                                   </w:t>
            </w:r>
            <w:r w:rsidR="006950A6" w:rsidRPr="003A0A70">
              <w:rPr>
                <w:rFonts w:ascii="Times New Roman" w:eastAsia="Times New Roman" w:hAnsi="Times New Roman" w:cs="Times New Roman"/>
                <w:b/>
                <w:bCs/>
                <w:color w:val="44546A"/>
                <w:sz w:val="24"/>
                <w:szCs w:val="24"/>
              </w:rPr>
              <w:t xml:space="preserve">Activision Blizzard - </w:t>
            </w:r>
            <w:r w:rsidR="00D74DBE" w:rsidRPr="003A0A70">
              <w:rPr>
                <w:rFonts w:ascii="Times New Roman" w:eastAsia="Times New Roman" w:hAnsi="Times New Roman" w:cs="Times New Roman"/>
                <w:b/>
                <w:bCs/>
                <w:color w:val="44546A"/>
                <w:sz w:val="24"/>
                <w:szCs w:val="24"/>
              </w:rPr>
              <w:t>Efficiency</w:t>
            </w:r>
            <w:r w:rsidR="006950A6" w:rsidRPr="003A0A70">
              <w:rPr>
                <w:rFonts w:ascii="Times New Roman" w:eastAsia="Times New Roman" w:hAnsi="Times New Roman" w:cs="Times New Roman"/>
                <w:b/>
                <w:bCs/>
                <w:color w:val="44546A"/>
                <w:sz w:val="24"/>
                <w:szCs w:val="24"/>
              </w:rPr>
              <w:t xml:space="preserve"> Ratios</w:t>
            </w:r>
          </w:p>
        </w:tc>
        <w:tc>
          <w:tcPr>
            <w:tcW w:w="2070" w:type="dxa"/>
            <w:gridSpan w:val="2"/>
            <w:tcBorders>
              <w:top w:val="nil"/>
              <w:left w:val="nil"/>
              <w:bottom w:val="nil"/>
              <w:right w:val="nil"/>
            </w:tcBorders>
            <w:shd w:val="clear" w:color="000000" w:fill="8EA9DB"/>
            <w:noWrap/>
            <w:vAlign w:val="bottom"/>
            <w:hideMark/>
          </w:tcPr>
          <w:p w14:paraId="4DD60F3A" w14:textId="77777777" w:rsidR="006950A6" w:rsidRPr="003A0A70" w:rsidRDefault="006950A6" w:rsidP="006950A6">
            <w:pPr>
              <w:spacing w:after="0" w:line="240" w:lineRule="auto"/>
              <w:rPr>
                <w:rFonts w:ascii="Times New Roman" w:eastAsia="Times New Roman" w:hAnsi="Times New Roman" w:cs="Times New Roman"/>
                <w:b/>
                <w:bCs/>
                <w:color w:val="44546A"/>
                <w:sz w:val="24"/>
                <w:szCs w:val="24"/>
              </w:rPr>
            </w:pPr>
            <w:r w:rsidRPr="003A0A70">
              <w:rPr>
                <w:rFonts w:ascii="Times New Roman" w:eastAsia="Times New Roman" w:hAnsi="Times New Roman" w:cs="Times New Roman"/>
                <w:b/>
                <w:bCs/>
                <w:color w:val="44546A"/>
                <w:sz w:val="24"/>
                <w:szCs w:val="24"/>
              </w:rPr>
              <w:t> </w:t>
            </w:r>
          </w:p>
        </w:tc>
      </w:tr>
      <w:tr w:rsidR="006950A6" w:rsidRPr="003A0A70" w14:paraId="2AB9207C" w14:textId="77777777" w:rsidTr="00BD7C04">
        <w:trPr>
          <w:trHeight w:val="315"/>
        </w:trPr>
        <w:tc>
          <w:tcPr>
            <w:tcW w:w="2330" w:type="dxa"/>
            <w:tcBorders>
              <w:top w:val="nil"/>
              <w:left w:val="nil"/>
              <w:bottom w:val="nil"/>
              <w:right w:val="nil"/>
            </w:tcBorders>
            <w:shd w:val="clear" w:color="000000" w:fill="4472C4"/>
            <w:noWrap/>
            <w:vAlign w:val="bottom"/>
            <w:hideMark/>
          </w:tcPr>
          <w:p w14:paraId="7B8CA659" w14:textId="77777777" w:rsidR="006950A6" w:rsidRPr="003A0A70" w:rsidRDefault="006950A6" w:rsidP="006950A6">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 xml:space="preserve"> </w:t>
            </w:r>
          </w:p>
        </w:tc>
        <w:tc>
          <w:tcPr>
            <w:tcW w:w="1171" w:type="dxa"/>
            <w:tcBorders>
              <w:top w:val="single" w:sz="12" w:space="0" w:color="4472C4"/>
              <w:left w:val="single" w:sz="4" w:space="0" w:color="8EA9DB"/>
              <w:bottom w:val="single" w:sz="4" w:space="0" w:color="8EA9DB"/>
              <w:right w:val="nil"/>
            </w:tcBorders>
            <w:shd w:val="clear" w:color="4472C4" w:fill="4472C4"/>
            <w:noWrap/>
            <w:vAlign w:val="bottom"/>
            <w:hideMark/>
          </w:tcPr>
          <w:p w14:paraId="5DD69EB0" w14:textId="77777777" w:rsidR="006950A6" w:rsidRPr="003A0A70" w:rsidRDefault="006950A6" w:rsidP="00D74DB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2019</w:t>
            </w:r>
          </w:p>
        </w:tc>
        <w:tc>
          <w:tcPr>
            <w:tcW w:w="1172" w:type="dxa"/>
            <w:tcBorders>
              <w:top w:val="single" w:sz="12" w:space="0" w:color="4472C4"/>
              <w:left w:val="nil"/>
              <w:bottom w:val="single" w:sz="4" w:space="0" w:color="8EA9DB"/>
              <w:right w:val="nil"/>
            </w:tcBorders>
            <w:shd w:val="clear" w:color="4472C4" w:fill="4472C4"/>
            <w:noWrap/>
            <w:vAlign w:val="bottom"/>
            <w:hideMark/>
          </w:tcPr>
          <w:p w14:paraId="0D92B79B" w14:textId="77777777" w:rsidR="006950A6" w:rsidRPr="003A0A70" w:rsidRDefault="006950A6" w:rsidP="00D74DB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2018</w:t>
            </w:r>
          </w:p>
        </w:tc>
        <w:tc>
          <w:tcPr>
            <w:tcW w:w="1172" w:type="dxa"/>
            <w:tcBorders>
              <w:top w:val="single" w:sz="12" w:space="0" w:color="4472C4"/>
              <w:left w:val="nil"/>
              <w:bottom w:val="single" w:sz="4" w:space="0" w:color="8EA9DB"/>
              <w:right w:val="nil"/>
            </w:tcBorders>
            <w:shd w:val="clear" w:color="4472C4" w:fill="4472C4"/>
            <w:noWrap/>
            <w:vAlign w:val="bottom"/>
            <w:hideMark/>
          </w:tcPr>
          <w:p w14:paraId="509A7DD7" w14:textId="77777777" w:rsidR="006950A6" w:rsidRPr="003A0A70" w:rsidRDefault="006950A6" w:rsidP="00D74DB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2017</w:t>
            </w:r>
          </w:p>
        </w:tc>
        <w:tc>
          <w:tcPr>
            <w:tcW w:w="1171" w:type="dxa"/>
            <w:tcBorders>
              <w:top w:val="single" w:sz="12" w:space="0" w:color="4472C4"/>
              <w:left w:val="nil"/>
              <w:bottom w:val="single" w:sz="4" w:space="0" w:color="8EA9DB"/>
              <w:right w:val="nil"/>
            </w:tcBorders>
            <w:shd w:val="clear" w:color="4472C4" w:fill="4472C4"/>
            <w:noWrap/>
            <w:vAlign w:val="bottom"/>
            <w:hideMark/>
          </w:tcPr>
          <w:p w14:paraId="51DA745A" w14:textId="77777777" w:rsidR="006950A6" w:rsidRPr="003A0A70" w:rsidRDefault="006950A6" w:rsidP="00D74DB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2016</w:t>
            </w:r>
          </w:p>
        </w:tc>
        <w:tc>
          <w:tcPr>
            <w:tcW w:w="1172" w:type="dxa"/>
            <w:gridSpan w:val="2"/>
            <w:tcBorders>
              <w:top w:val="single" w:sz="12" w:space="0" w:color="4472C4"/>
              <w:left w:val="nil"/>
              <w:bottom w:val="single" w:sz="4" w:space="0" w:color="8EA9DB"/>
              <w:right w:val="nil"/>
            </w:tcBorders>
            <w:shd w:val="clear" w:color="4472C4" w:fill="4472C4"/>
            <w:noWrap/>
            <w:vAlign w:val="bottom"/>
            <w:hideMark/>
          </w:tcPr>
          <w:p w14:paraId="44AE72F7" w14:textId="77777777" w:rsidR="006950A6" w:rsidRPr="003A0A70" w:rsidRDefault="006950A6" w:rsidP="00D74DB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2015</w:t>
            </w:r>
          </w:p>
        </w:tc>
        <w:tc>
          <w:tcPr>
            <w:tcW w:w="1172" w:type="dxa"/>
            <w:tcBorders>
              <w:top w:val="single" w:sz="12" w:space="0" w:color="4472C4"/>
              <w:left w:val="nil"/>
              <w:bottom w:val="single" w:sz="4" w:space="0" w:color="8EA9DB"/>
              <w:right w:val="single" w:sz="4" w:space="0" w:color="8EA9DB"/>
            </w:tcBorders>
            <w:shd w:val="clear" w:color="4472C4" w:fill="4472C4"/>
            <w:noWrap/>
            <w:vAlign w:val="bottom"/>
            <w:hideMark/>
          </w:tcPr>
          <w:p w14:paraId="737D5880" w14:textId="77777777" w:rsidR="006950A6" w:rsidRPr="003A0A70" w:rsidRDefault="006950A6" w:rsidP="00D74DB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Industry Average</w:t>
            </w:r>
          </w:p>
        </w:tc>
      </w:tr>
      <w:tr w:rsidR="006950A6" w:rsidRPr="003A0A70" w14:paraId="5F9F3A39" w14:textId="77777777" w:rsidTr="00BD7C04">
        <w:trPr>
          <w:trHeight w:val="300"/>
        </w:trPr>
        <w:tc>
          <w:tcPr>
            <w:tcW w:w="2330" w:type="dxa"/>
            <w:tcBorders>
              <w:top w:val="nil"/>
              <w:left w:val="nil"/>
              <w:bottom w:val="nil"/>
              <w:right w:val="nil"/>
            </w:tcBorders>
            <w:shd w:val="clear" w:color="000000" w:fill="0070C0"/>
            <w:noWrap/>
            <w:vAlign w:val="bottom"/>
            <w:hideMark/>
          </w:tcPr>
          <w:p w14:paraId="1B2003CD"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Inventory Turnover</w:t>
            </w:r>
          </w:p>
        </w:tc>
        <w:tc>
          <w:tcPr>
            <w:tcW w:w="1171" w:type="dxa"/>
            <w:tcBorders>
              <w:top w:val="single" w:sz="4" w:space="0" w:color="8EA9DB"/>
              <w:left w:val="single" w:sz="4" w:space="0" w:color="8EA9DB"/>
              <w:bottom w:val="single" w:sz="4" w:space="0" w:color="8EA9DB"/>
              <w:right w:val="nil"/>
            </w:tcBorders>
            <w:shd w:val="clear" w:color="D9E1F2" w:fill="D9E1F2"/>
            <w:noWrap/>
            <w:vAlign w:val="bottom"/>
            <w:hideMark/>
          </w:tcPr>
          <w:p w14:paraId="363E7F47"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65.44</w:t>
            </w:r>
          </w:p>
        </w:tc>
        <w:tc>
          <w:tcPr>
            <w:tcW w:w="1172" w:type="dxa"/>
            <w:tcBorders>
              <w:top w:val="single" w:sz="4" w:space="0" w:color="8EA9DB"/>
              <w:left w:val="nil"/>
              <w:bottom w:val="single" w:sz="4" w:space="0" w:color="8EA9DB"/>
              <w:right w:val="nil"/>
            </w:tcBorders>
            <w:shd w:val="clear" w:color="D9E1F2" w:fill="D9E1F2"/>
            <w:noWrap/>
            <w:vAlign w:val="bottom"/>
            <w:hideMark/>
          </w:tcPr>
          <w:p w14:paraId="16A59C4A"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58.53</w:t>
            </w:r>
          </w:p>
        </w:tc>
        <w:tc>
          <w:tcPr>
            <w:tcW w:w="1172" w:type="dxa"/>
            <w:tcBorders>
              <w:top w:val="single" w:sz="4" w:space="0" w:color="8EA9DB"/>
              <w:left w:val="nil"/>
              <w:bottom w:val="single" w:sz="4" w:space="0" w:color="8EA9DB"/>
              <w:right w:val="nil"/>
            </w:tcBorders>
            <w:shd w:val="clear" w:color="D9E1F2" w:fill="D9E1F2"/>
            <w:noWrap/>
            <w:vAlign w:val="bottom"/>
            <w:hideMark/>
          </w:tcPr>
          <w:p w14:paraId="6A698006"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54.37</w:t>
            </w:r>
          </w:p>
        </w:tc>
        <w:tc>
          <w:tcPr>
            <w:tcW w:w="1171" w:type="dxa"/>
            <w:tcBorders>
              <w:top w:val="single" w:sz="4" w:space="0" w:color="8EA9DB"/>
              <w:left w:val="nil"/>
              <w:bottom w:val="single" w:sz="4" w:space="0" w:color="8EA9DB"/>
              <w:right w:val="nil"/>
            </w:tcBorders>
            <w:shd w:val="clear" w:color="D9E1F2" w:fill="D9E1F2"/>
            <w:noWrap/>
            <w:vAlign w:val="bottom"/>
            <w:hideMark/>
          </w:tcPr>
          <w:p w14:paraId="6C614869"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48.86</w:t>
            </w:r>
          </w:p>
        </w:tc>
        <w:tc>
          <w:tcPr>
            <w:tcW w:w="1172" w:type="dxa"/>
            <w:gridSpan w:val="2"/>
            <w:tcBorders>
              <w:top w:val="single" w:sz="4" w:space="0" w:color="8EA9DB"/>
              <w:left w:val="nil"/>
              <w:bottom w:val="single" w:sz="4" w:space="0" w:color="8EA9DB"/>
              <w:right w:val="nil"/>
            </w:tcBorders>
            <w:shd w:val="clear" w:color="D9E1F2" w:fill="D9E1F2"/>
            <w:noWrap/>
            <w:vAlign w:val="bottom"/>
            <w:hideMark/>
          </w:tcPr>
          <w:p w14:paraId="6B23C300"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12.38</w:t>
            </w:r>
          </w:p>
        </w:tc>
        <w:tc>
          <w:tcPr>
            <w:tcW w:w="1172" w:type="dxa"/>
            <w:tcBorders>
              <w:top w:val="single" w:sz="4" w:space="0" w:color="8EA9DB"/>
              <w:left w:val="nil"/>
              <w:bottom w:val="single" w:sz="4" w:space="0" w:color="8EA9DB"/>
              <w:right w:val="single" w:sz="4" w:space="0" w:color="8EA9DB"/>
            </w:tcBorders>
            <w:shd w:val="clear" w:color="D9E1F2" w:fill="D9E1F2"/>
            <w:noWrap/>
            <w:vAlign w:val="bottom"/>
            <w:hideMark/>
          </w:tcPr>
          <w:p w14:paraId="55FCD5B4"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p>
        </w:tc>
      </w:tr>
      <w:tr w:rsidR="006950A6" w:rsidRPr="003A0A70" w14:paraId="0673E24F" w14:textId="77777777" w:rsidTr="00BD7C04">
        <w:trPr>
          <w:trHeight w:val="300"/>
        </w:trPr>
        <w:tc>
          <w:tcPr>
            <w:tcW w:w="2330" w:type="dxa"/>
            <w:tcBorders>
              <w:top w:val="nil"/>
              <w:left w:val="nil"/>
              <w:bottom w:val="nil"/>
              <w:right w:val="nil"/>
            </w:tcBorders>
            <w:shd w:val="clear" w:color="000000" w:fill="0070C0"/>
            <w:noWrap/>
            <w:vAlign w:val="bottom"/>
            <w:hideMark/>
          </w:tcPr>
          <w:p w14:paraId="7A8982C2"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Average Age of Inventory (Days)</w:t>
            </w:r>
          </w:p>
        </w:tc>
        <w:tc>
          <w:tcPr>
            <w:tcW w:w="1171" w:type="dxa"/>
            <w:tcBorders>
              <w:top w:val="single" w:sz="4" w:space="0" w:color="8EA9DB"/>
              <w:left w:val="single" w:sz="4" w:space="0" w:color="8EA9DB"/>
              <w:bottom w:val="single" w:sz="4" w:space="0" w:color="8EA9DB"/>
              <w:right w:val="nil"/>
            </w:tcBorders>
            <w:shd w:val="clear" w:color="auto" w:fill="auto"/>
            <w:noWrap/>
            <w:vAlign w:val="bottom"/>
            <w:hideMark/>
          </w:tcPr>
          <w:p w14:paraId="086A3574"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5.58</w:t>
            </w:r>
          </w:p>
        </w:tc>
        <w:tc>
          <w:tcPr>
            <w:tcW w:w="1172" w:type="dxa"/>
            <w:tcBorders>
              <w:top w:val="single" w:sz="4" w:space="0" w:color="8EA9DB"/>
              <w:left w:val="nil"/>
              <w:bottom w:val="single" w:sz="4" w:space="0" w:color="8EA9DB"/>
              <w:right w:val="nil"/>
            </w:tcBorders>
            <w:shd w:val="clear" w:color="auto" w:fill="auto"/>
            <w:noWrap/>
            <w:vAlign w:val="bottom"/>
            <w:hideMark/>
          </w:tcPr>
          <w:p w14:paraId="6D91690C"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6.24</w:t>
            </w:r>
          </w:p>
        </w:tc>
        <w:tc>
          <w:tcPr>
            <w:tcW w:w="1172" w:type="dxa"/>
            <w:tcBorders>
              <w:top w:val="single" w:sz="4" w:space="0" w:color="8EA9DB"/>
              <w:left w:val="nil"/>
              <w:bottom w:val="single" w:sz="4" w:space="0" w:color="8EA9DB"/>
              <w:right w:val="nil"/>
            </w:tcBorders>
            <w:shd w:val="clear" w:color="auto" w:fill="auto"/>
            <w:noWrap/>
            <w:vAlign w:val="bottom"/>
            <w:hideMark/>
          </w:tcPr>
          <w:p w14:paraId="7E77DD41"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6.71</w:t>
            </w:r>
          </w:p>
        </w:tc>
        <w:tc>
          <w:tcPr>
            <w:tcW w:w="1171" w:type="dxa"/>
            <w:tcBorders>
              <w:top w:val="single" w:sz="4" w:space="0" w:color="8EA9DB"/>
              <w:left w:val="nil"/>
              <w:bottom w:val="single" w:sz="4" w:space="0" w:color="8EA9DB"/>
              <w:right w:val="nil"/>
            </w:tcBorders>
            <w:shd w:val="clear" w:color="auto" w:fill="auto"/>
            <w:noWrap/>
            <w:vAlign w:val="bottom"/>
            <w:hideMark/>
          </w:tcPr>
          <w:p w14:paraId="576FF608"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7.47</w:t>
            </w:r>
          </w:p>
        </w:tc>
        <w:tc>
          <w:tcPr>
            <w:tcW w:w="1172" w:type="dxa"/>
            <w:gridSpan w:val="2"/>
            <w:tcBorders>
              <w:top w:val="single" w:sz="4" w:space="0" w:color="8EA9DB"/>
              <w:left w:val="nil"/>
              <w:bottom w:val="single" w:sz="4" w:space="0" w:color="8EA9DB"/>
              <w:right w:val="nil"/>
            </w:tcBorders>
            <w:shd w:val="clear" w:color="auto" w:fill="auto"/>
            <w:noWrap/>
            <w:vAlign w:val="bottom"/>
            <w:hideMark/>
          </w:tcPr>
          <w:p w14:paraId="7D3E6EA3"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29.48</w:t>
            </w:r>
          </w:p>
        </w:tc>
        <w:tc>
          <w:tcPr>
            <w:tcW w:w="1172" w:type="dxa"/>
            <w:tcBorders>
              <w:top w:val="single" w:sz="4" w:space="0" w:color="8EA9DB"/>
              <w:left w:val="nil"/>
              <w:bottom w:val="single" w:sz="4" w:space="0" w:color="8EA9DB"/>
              <w:right w:val="single" w:sz="4" w:space="0" w:color="8EA9DB"/>
            </w:tcBorders>
            <w:shd w:val="clear" w:color="auto" w:fill="auto"/>
            <w:noWrap/>
            <w:vAlign w:val="bottom"/>
            <w:hideMark/>
          </w:tcPr>
          <w:p w14:paraId="5F276C55"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p>
        </w:tc>
      </w:tr>
      <w:tr w:rsidR="006950A6" w:rsidRPr="003A0A70" w14:paraId="0F6C904D" w14:textId="77777777" w:rsidTr="00BD7C04">
        <w:trPr>
          <w:trHeight w:val="300"/>
        </w:trPr>
        <w:tc>
          <w:tcPr>
            <w:tcW w:w="2330" w:type="dxa"/>
            <w:tcBorders>
              <w:top w:val="nil"/>
              <w:left w:val="nil"/>
              <w:bottom w:val="nil"/>
              <w:right w:val="nil"/>
            </w:tcBorders>
            <w:shd w:val="clear" w:color="000000" w:fill="0070C0"/>
            <w:noWrap/>
            <w:vAlign w:val="bottom"/>
            <w:hideMark/>
          </w:tcPr>
          <w:p w14:paraId="26BD939E"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Collection Period (Days)</w:t>
            </w:r>
          </w:p>
        </w:tc>
        <w:tc>
          <w:tcPr>
            <w:tcW w:w="1171" w:type="dxa"/>
            <w:tcBorders>
              <w:top w:val="single" w:sz="4" w:space="0" w:color="8EA9DB"/>
              <w:left w:val="single" w:sz="4" w:space="0" w:color="8EA9DB"/>
              <w:bottom w:val="single" w:sz="4" w:space="0" w:color="8EA9DB"/>
              <w:right w:val="nil"/>
            </w:tcBorders>
            <w:shd w:val="clear" w:color="D9E1F2" w:fill="D9E1F2"/>
            <w:noWrap/>
            <w:vAlign w:val="bottom"/>
            <w:hideMark/>
          </w:tcPr>
          <w:p w14:paraId="51D4E09A"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47.70</w:t>
            </w:r>
          </w:p>
        </w:tc>
        <w:tc>
          <w:tcPr>
            <w:tcW w:w="1172" w:type="dxa"/>
            <w:tcBorders>
              <w:top w:val="single" w:sz="4" w:space="0" w:color="8EA9DB"/>
              <w:left w:val="nil"/>
              <w:bottom w:val="single" w:sz="4" w:space="0" w:color="8EA9DB"/>
              <w:right w:val="nil"/>
            </w:tcBorders>
            <w:shd w:val="clear" w:color="D9E1F2" w:fill="D9E1F2"/>
            <w:noWrap/>
            <w:vAlign w:val="bottom"/>
            <w:hideMark/>
          </w:tcPr>
          <w:p w14:paraId="6EB9435E"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50.37</w:t>
            </w:r>
          </w:p>
        </w:tc>
        <w:tc>
          <w:tcPr>
            <w:tcW w:w="1172" w:type="dxa"/>
            <w:tcBorders>
              <w:top w:val="single" w:sz="4" w:space="0" w:color="8EA9DB"/>
              <w:left w:val="nil"/>
              <w:bottom w:val="single" w:sz="4" w:space="0" w:color="8EA9DB"/>
              <w:right w:val="nil"/>
            </w:tcBorders>
            <w:shd w:val="clear" w:color="D9E1F2" w:fill="D9E1F2"/>
            <w:noWrap/>
            <w:vAlign w:val="bottom"/>
            <w:hideMark/>
          </w:tcPr>
          <w:p w14:paraId="545A5BAB"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47.75</w:t>
            </w:r>
          </w:p>
        </w:tc>
        <w:tc>
          <w:tcPr>
            <w:tcW w:w="1171" w:type="dxa"/>
            <w:tcBorders>
              <w:top w:val="single" w:sz="4" w:space="0" w:color="8EA9DB"/>
              <w:left w:val="nil"/>
              <w:bottom w:val="single" w:sz="4" w:space="0" w:color="8EA9DB"/>
              <w:right w:val="nil"/>
            </w:tcBorders>
            <w:shd w:val="clear" w:color="D9E1F2" w:fill="D9E1F2"/>
            <w:noWrap/>
            <w:vAlign w:val="bottom"/>
            <w:hideMark/>
          </w:tcPr>
          <w:p w14:paraId="297B85F7"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40.43</w:t>
            </w:r>
          </w:p>
        </w:tc>
        <w:tc>
          <w:tcPr>
            <w:tcW w:w="1172" w:type="dxa"/>
            <w:gridSpan w:val="2"/>
            <w:tcBorders>
              <w:top w:val="single" w:sz="4" w:space="0" w:color="8EA9DB"/>
              <w:left w:val="nil"/>
              <w:bottom w:val="single" w:sz="4" w:space="0" w:color="8EA9DB"/>
              <w:right w:val="nil"/>
            </w:tcBorders>
            <w:shd w:val="clear" w:color="D9E1F2" w:fill="D9E1F2"/>
            <w:noWrap/>
            <w:vAlign w:val="bottom"/>
            <w:hideMark/>
          </w:tcPr>
          <w:p w14:paraId="02CF1C37"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53.14</w:t>
            </w:r>
          </w:p>
        </w:tc>
        <w:tc>
          <w:tcPr>
            <w:tcW w:w="1172" w:type="dxa"/>
            <w:tcBorders>
              <w:top w:val="single" w:sz="4" w:space="0" w:color="8EA9DB"/>
              <w:left w:val="nil"/>
              <w:bottom w:val="single" w:sz="4" w:space="0" w:color="8EA9DB"/>
              <w:right w:val="single" w:sz="4" w:space="0" w:color="8EA9DB"/>
            </w:tcBorders>
            <w:shd w:val="clear" w:color="D9E1F2" w:fill="D9E1F2"/>
            <w:noWrap/>
            <w:vAlign w:val="bottom"/>
            <w:hideMark/>
          </w:tcPr>
          <w:p w14:paraId="5E7A2865"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p>
        </w:tc>
      </w:tr>
      <w:tr w:rsidR="006950A6" w:rsidRPr="003A0A70" w14:paraId="0DB6FF64" w14:textId="77777777" w:rsidTr="00BD7C04">
        <w:trPr>
          <w:trHeight w:val="300"/>
        </w:trPr>
        <w:tc>
          <w:tcPr>
            <w:tcW w:w="2330" w:type="dxa"/>
            <w:tcBorders>
              <w:top w:val="nil"/>
              <w:left w:val="nil"/>
              <w:bottom w:val="nil"/>
              <w:right w:val="nil"/>
            </w:tcBorders>
            <w:shd w:val="clear" w:color="000000" w:fill="0070C0"/>
            <w:noWrap/>
            <w:vAlign w:val="bottom"/>
            <w:hideMark/>
          </w:tcPr>
          <w:p w14:paraId="52E889C7"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Payables Period (Days)</w:t>
            </w:r>
          </w:p>
        </w:tc>
        <w:tc>
          <w:tcPr>
            <w:tcW w:w="1171" w:type="dxa"/>
            <w:tcBorders>
              <w:top w:val="single" w:sz="4" w:space="0" w:color="8EA9DB"/>
              <w:left w:val="single" w:sz="4" w:space="0" w:color="8EA9DB"/>
              <w:bottom w:val="single" w:sz="4" w:space="0" w:color="8EA9DB"/>
              <w:right w:val="nil"/>
            </w:tcBorders>
            <w:shd w:val="clear" w:color="auto" w:fill="auto"/>
            <w:noWrap/>
            <w:vAlign w:val="bottom"/>
            <w:hideMark/>
          </w:tcPr>
          <w:p w14:paraId="3DFA6CC9"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50.90</w:t>
            </w:r>
          </w:p>
        </w:tc>
        <w:tc>
          <w:tcPr>
            <w:tcW w:w="1172" w:type="dxa"/>
            <w:tcBorders>
              <w:top w:val="single" w:sz="4" w:space="0" w:color="8EA9DB"/>
              <w:left w:val="nil"/>
              <w:bottom w:val="single" w:sz="4" w:space="0" w:color="8EA9DB"/>
              <w:right w:val="nil"/>
            </w:tcBorders>
            <w:shd w:val="clear" w:color="auto" w:fill="auto"/>
            <w:noWrap/>
            <w:vAlign w:val="bottom"/>
            <w:hideMark/>
          </w:tcPr>
          <w:p w14:paraId="4B2C3E86"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36.69</w:t>
            </w:r>
          </w:p>
        </w:tc>
        <w:tc>
          <w:tcPr>
            <w:tcW w:w="1172" w:type="dxa"/>
            <w:tcBorders>
              <w:top w:val="single" w:sz="4" w:space="0" w:color="8EA9DB"/>
              <w:left w:val="nil"/>
              <w:bottom w:val="single" w:sz="4" w:space="0" w:color="8EA9DB"/>
              <w:right w:val="nil"/>
            </w:tcBorders>
            <w:shd w:val="clear" w:color="auto" w:fill="auto"/>
            <w:noWrap/>
            <w:vAlign w:val="bottom"/>
            <w:hideMark/>
          </w:tcPr>
          <w:p w14:paraId="7B677CE8"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47.14</w:t>
            </w:r>
          </w:p>
        </w:tc>
        <w:tc>
          <w:tcPr>
            <w:tcW w:w="1171" w:type="dxa"/>
            <w:tcBorders>
              <w:top w:val="single" w:sz="4" w:space="0" w:color="8EA9DB"/>
              <w:left w:val="nil"/>
              <w:bottom w:val="single" w:sz="4" w:space="0" w:color="8EA9DB"/>
              <w:right w:val="nil"/>
            </w:tcBorders>
            <w:shd w:val="clear" w:color="auto" w:fill="auto"/>
            <w:noWrap/>
            <w:vAlign w:val="bottom"/>
            <w:hideMark/>
          </w:tcPr>
          <w:p w14:paraId="4C2FD581"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33.85</w:t>
            </w:r>
          </w:p>
        </w:tc>
        <w:tc>
          <w:tcPr>
            <w:tcW w:w="1172" w:type="dxa"/>
            <w:gridSpan w:val="2"/>
            <w:tcBorders>
              <w:top w:val="single" w:sz="4" w:space="0" w:color="8EA9DB"/>
              <w:left w:val="nil"/>
              <w:bottom w:val="single" w:sz="4" w:space="0" w:color="8EA9DB"/>
              <w:right w:val="nil"/>
            </w:tcBorders>
            <w:shd w:val="clear" w:color="auto" w:fill="auto"/>
            <w:noWrap/>
            <w:vAlign w:val="bottom"/>
            <w:hideMark/>
          </w:tcPr>
          <w:p w14:paraId="621E8E34"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65.40</w:t>
            </w:r>
          </w:p>
        </w:tc>
        <w:tc>
          <w:tcPr>
            <w:tcW w:w="1172" w:type="dxa"/>
            <w:tcBorders>
              <w:top w:val="single" w:sz="4" w:space="0" w:color="8EA9DB"/>
              <w:left w:val="nil"/>
              <w:bottom w:val="single" w:sz="4" w:space="0" w:color="8EA9DB"/>
              <w:right w:val="single" w:sz="4" w:space="0" w:color="8EA9DB"/>
            </w:tcBorders>
            <w:shd w:val="clear" w:color="auto" w:fill="auto"/>
            <w:noWrap/>
            <w:vAlign w:val="bottom"/>
            <w:hideMark/>
          </w:tcPr>
          <w:p w14:paraId="494240A6"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p>
        </w:tc>
      </w:tr>
      <w:tr w:rsidR="006950A6" w:rsidRPr="003A0A70" w14:paraId="0C71238C" w14:textId="77777777" w:rsidTr="00BD7C04">
        <w:trPr>
          <w:trHeight w:val="300"/>
        </w:trPr>
        <w:tc>
          <w:tcPr>
            <w:tcW w:w="2330" w:type="dxa"/>
            <w:tcBorders>
              <w:top w:val="nil"/>
              <w:left w:val="nil"/>
              <w:bottom w:val="nil"/>
              <w:right w:val="nil"/>
            </w:tcBorders>
            <w:shd w:val="clear" w:color="000000" w:fill="0070C0"/>
            <w:noWrap/>
            <w:vAlign w:val="bottom"/>
            <w:hideMark/>
          </w:tcPr>
          <w:p w14:paraId="40706610"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 xml:space="preserve">Fixed Asset Turnover </w:t>
            </w:r>
          </w:p>
        </w:tc>
        <w:tc>
          <w:tcPr>
            <w:tcW w:w="1171" w:type="dxa"/>
            <w:tcBorders>
              <w:top w:val="single" w:sz="4" w:space="0" w:color="8EA9DB"/>
              <w:left w:val="single" w:sz="4" w:space="0" w:color="8EA9DB"/>
              <w:bottom w:val="single" w:sz="4" w:space="0" w:color="8EA9DB"/>
              <w:right w:val="nil"/>
            </w:tcBorders>
            <w:shd w:val="clear" w:color="D9E1F2" w:fill="D9E1F2"/>
            <w:noWrap/>
            <w:vAlign w:val="bottom"/>
            <w:hideMark/>
          </w:tcPr>
          <w:p w14:paraId="33083946"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25.65</w:t>
            </w:r>
          </w:p>
        </w:tc>
        <w:tc>
          <w:tcPr>
            <w:tcW w:w="1172" w:type="dxa"/>
            <w:tcBorders>
              <w:top w:val="single" w:sz="4" w:space="0" w:color="8EA9DB"/>
              <w:left w:val="nil"/>
              <w:bottom w:val="single" w:sz="4" w:space="0" w:color="8EA9DB"/>
              <w:right w:val="nil"/>
            </w:tcBorders>
            <w:shd w:val="clear" w:color="D9E1F2" w:fill="D9E1F2"/>
            <w:noWrap/>
            <w:vAlign w:val="bottom"/>
            <w:hideMark/>
          </w:tcPr>
          <w:p w14:paraId="5D89F484"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26.60</w:t>
            </w:r>
          </w:p>
        </w:tc>
        <w:tc>
          <w:tcPr>
            <w:tcW w:w="1172" w:type="dxa"/>
            <w:tcBorders>
              <w:top w:val="single" w:sz="4" w:space="0" w:color="8EA9DB"/>
              <w:left w:val="nil"/>
              <w:bottom w:val="single" w:sz="4" w:space="0" w:color="8EA9DB"/>
              <w:right w:val="nil"/>
            </w:tcBorders>
            <w:shd w:val="clear" w:color="D9E1F2" w:fill="D9E1F2"/>
            <w:noWrap/>
            <w:vAlign w:val="bottom"/>
            <w:hideMark/>
          </w:tcPr>
          <w:p w14:paraId="10764DBD"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23.87</w:t>
            </w:r>
          </w:p>
        </w:tc>
        <w:tc>
          <w:tcPr>
            <w:tcW w:w="1171" w:type="dxa"/>
            <w:tcBorders>
              <w:top w:val="single" w:sz="4" w:space="0" w:color="8EA9DB"/>
              <w:left w:val="nil"/>
              <w:bottom w:val="single" w:sz="4" w:space="0" w:color="8EA9DB"/>
              <w:right w:val="nil"/>
            </w:tcBorders>
            <w:shd w:val="clear" w:color="D9E1F2" w:fill="D9E1F2"/>
            <w:noWrap/>
            <w:vAlign w:val="bottom"/>
            <w:hideMark/>
          </w:tcPr>
          <w:p w14:paraId="259100B6"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25.61</w:t>
            </w:r>
          </w:p>
        </w:tc>
        <w:tc>
          <w:tcPr>
            <w:tcW w:w="1172" w:type="dxa"/>
            <w:gridSpan w:val="2"/>
            <w:tcBorders>
              <w:top w:val="single" w:sz="4" w:space="0" w:color="8EA9DB"/>
              <w:left w:val="nil"/>
              <w:bottom w:val="single" w:sz="4" w:space="0" w:color="8EA9DB"/>
              <w:right w:val="nil"/>
            </w:tcBorders>
            <w:shd w:val="clear" w:color="D9E1F2" w:fill="D9E1F2"/>
            <w:noWrap/>
            <w:vAlign w:val="bottom"/>
            <w:hideMark/>
          </w:tcPr>
          <w:p w14:paraId="46D510AC"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24.68</w:t>
            </w:r>
          </w:p>
        </w:tc>
        <w:tc>
          <w:tcPr>
            <w:tcW w:w="1172" w:type="dxa"/>
            <w:tcBorders>
              <w:top w:val="single" w:sz="4" w:space="0" w:color="8EA9DB"/>
              <w:left w:val="nil"/>
              <w:bottom w:val="single" w:sz="4" w:space="0" w:color="8EA9DB"/>
              <w:right w:val="single" w:sz="4" w:space="0" w:color="8EA9DB"/>
            </w:tcBorders>
            <w:shd w:val="clear" w:color="D9E1F2" w:fill="D9E1F2"/>
            <w:noWrap/>
            <w:vAlign w:val="bottom"/>
            <w:hideMark/>
          </w:tcPr>
          <w:p w14:paraId="76ED660E"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p>
        </w:tc>
      </w:tr>
      <w:tr w:rsidR="006950A6" w:rsidRPr="003A0A70" w14:paraId="61FFB511" w14:textId="77777777" w:rsidTr="00BD7C04">
        <w:trPr>
          <w:trHeight w:val="300"/>
        </w:trPr>
        <w:tc>
          <w:tcPr>
            <w:tcW w:w="2330" w:type="dxa"/>
            <w:tcBorders>
              <w:top w:val="nil"/>
              <w:left w:val="nil"/>
              <w:bottom w:val="nil"/>
              <w:right w:val="nil"/>
            </w:tcBorders>
            <w:shd w:val="clear" w:color="000000" w:fill="0070C0"/>
            <w:noWrap/>
            <w:vAlign w:val="bottom"/>
            <w:hideMark/>
          </w:tcPr>
          <w:p w14:paraId="6B6D5A18" w14:textId="77777777" w:rsidR="006950A6" w:rsidRPr="003A0A70" w:rsidRDefault="006950A6" w:rsidP="006950A6">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Total Asset Turnover</w:t>
            </w:r>
          </w:p>
        </w:tc>
        <w:tc>
          <w:tcPr>
            <w:tcW w:w="1171" w:type="dxa"/>
            <w:tcBorders>
              <w:top w:val="single" w:sz="4" w:space="0" w:color="8EA9DB"/>
              <w:left w:val="single" w:sz="4" w:space="0" w:color="8EA9DB"/>
              <w:bottom w:val="single" w:sz="4" w:space="0" w:color="8EA9DB"/>
              <w:right w:val="nil"/>
            </w:tcBorders>
            <w:shd w:val="clear" w:color="auto" w:fill="auto"/>
            <w:noWrap/>
            <w:vAlign w:val="bottom"/>
            <w:hideMark/>
          </w:tcPr>
          <w:p w14:paraId="5D263950"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0.33</w:t>
            </w:r>
          </w:p>
        </w:tc>
        <w:tc>
          <w:tcPr>
            <w:tcW w:w="1172" w:type="dxa"/>
            <w:tcBorders>
              <w:top w:val="single" w:sz="4" w:space="0" w:color="8EA9DB"/>
              <w:left w:val="nil"/>
              <w:bottom w:val="single" w:sz="4" w:space="0" w:color="8EA9DB"/>
              <w:right w:val="nil"/>
            </w:tcBorders>
            <w:shd w:val="clear" w:color="auto" w:fill="auto"/>
            <w:noWrap/>
            <w:vAlign w:val="bottom"/>
            <w:hideMark/>
          </w:tcPr>
          <w:p w14:paraId="1E718FCD"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0.42</w:t>
            </w:r>
          </w:p>
        </w:tc>
        <w:tc>
          <w:tcPr>
            <w:tcW w:w="1172" w:type="dxa"/>
            <w:tcBorders>
              <w:top w:val="single" w:sz="4" w:space="0" w:color="8EA9DB"/>
              <w:left w:val="nil"/>
              <w:bottom w:val="single" w:sz="4" w:space="0" w:color="8EA9DB"/>
              <w:right w:val="nil"/>
            </w:tcBorders>
            <w:shd w:val="clear" w:color="auto" w:fill="auto"/>
            <w:noWrap/>
            <w:vAlign w:val="bottom"/>
            <w:hideMark/>
          </w:tcPr>
          <w:p w14:paraId="05A667DE"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0.38</w:t>
            </w:r>
          </w:p>
        </w:tc>
        <w:tc>
          <w:tcPr>
            <w:tcW w:w="1171" w:type="dxa"/>
            <w:tcBorders>
              <w:top w:val="single" w:sz="4" w:space="0" w:color="8EA9DB"/>
              <w:left w:val="nil"/>
              <w:bottom w:val="single" w:sz="4" w:space="0" w:color="8EA9DB"/>
              <w:right w:val="nil"/>
            </w:tcBorders>
            <w:shd w:val="clear" w:color="auto" w:fill="auto"/>
            <w:noWrap/>
            <w:vAlign w:val="bottom"/>
            <w:hideMark/>
          </w:tcPr>
          <w:p w14:paraId="5BEB728F"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0.38</w:t>
            </w:r>
          </w:p>
        </w:tc>
        <w:tc>
          <w:tcPr>
            <w:tcW w:w="1172" w:type="dxa"/>
            <w:gridSpan w:val="2"/>
            <w:tcBorders>
              <w:top w:val="single" w:sz="4" w:space="0" w:color="8EA9DB"/>
              <w:left w:val="nil"/>
              <w:bottom w:val="single" w:sz="4" w:space="0" w:color="8EA9DB"/>
              <w:right w:val="nil"/>
            </w:tcBorders>
            <w:shd w:val="clear" w:color="auto" w:fill="auto"/>
            <w:noWrap/>
            <w:vAlign w:val="bottom"/>
            <w:hideMark/>
          </w:tcPr>
          <w:p w14:paraId="7296B9A7"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0.31</w:t>
            </w:r>
          </w:p>
        </w:tc>
        <w:tc>
          <w:tcPr>
            <w:tcW w:w="1172" w:type="dxa"/>
            <w:tcBorders>
              <w:top w:val="single" w:sz="4" w:space="0" w:color="8EA9DB"/>
              <w:left w:val="nil"/>
              <w:bottom w:val="single" w:sz="4" w:space="0" w:color="8EA9DB"/>
              <w:right w:val="single" w:sz="4" w:space="0" w:color="8EA9DB"/>
            </w:tcBorders>
            <w:shd w:val="clear" w:color="auto" w:fill="auto"/>
            <w:noWrap/>
            <w:vAlign w:val="bottom"/>
            <w:hideMark/>
          </w:tcPr>
          <w:p w14:paraId="1B5D367A" w14:textId="77777777" w:rsidR="006950A6" w:rsidRPr="003A0A70" w:rsidRDefault="006950A6" w:rsidP="00D74DB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0.60</w:t>
            </w:r>
          </w:p>
        </w:tc>
      </w:tr>
    </w:tbl>
    <w:p w14:paraId="340747C5" w14:textId="165918CD" w:rsidR="007F5A7D" w:rsidRPr="003A0A70" w:rsidRDefault="007F5A7D" w:rsidP="0047120B">
      <w:pPr>
        <w:spacing w:line="480" w:lineRule="auto"/>
        <w:rPr>
          <w:rFonts w:ascii="Times New Roman" w:hAnsi="Times New Roman" w:cs="Times New Roman"/>
          <w:color w:val="000000" w:themeColor="text1"/>
          <w:sz w:val="24"/>
          <w:szCs w:val="24"/>
        </w:rPr>
      </w:pPr>
    </w:p>
    <w:p w14:paraId="75C85988" w14:textId="17D9DEC7" w:rsidR="007F5A7D" w:rsidRPr="00BD7C04" w:rsidRDefault="007F5A7D" w:rsidP="00BD7C04">
      <w:pPr>
        <w:spacing w:line="480" w:lineRule="auto"/>
        <w:ind w:firstLine="720"/>
        <w:contextualSpacing/>
        <w:rPr>
          <w:rFonts w:ascii="Times New Roman" w:hAnsi="Times New Roman" w:cs="Times New Roman"/>
          <w:b/>
          <w:bCs/>
          <w:color w:val="212529"/>
          <w:sz w:val="24"/>
          <w:szCs w:val="24"/>
          <w:shd w:val="clear" w:color="auto" w:fill="FFFFFF"/>
        </w:rPr>
      </w:pPr>
      <w:r w:rsidRPr="00C8605A">
        <w:rPr>
          <w:rFonts w:ascii="Times New Roman" w:hAnsi="Times New Roman" w:cs="Times New Roman"/>
          <w:b/>
          <w:bCs/>
          <w:color w:val="212529"/>
          <w:sz w:val="24"/>
          <w:szCs w:val="24"/>
          <w:shd w:val="clear" w:color="auto" w:fill="FFFFFF"/>
        </w:rPr>
        <w:lastRenderedPageBreak/>
        <w:t>Trend Analysis</w:t>
      </w:r>
      <w:r w:rsidR="00BD7C04">
        <w:rPr>
          <w:rFonts w:ascii="Times New Roman" w:hAnsi="Times New Roman" w:cs="Times New Roman"/>
          <w:b/>
          <w:bCs/>
          <w:color w:val="212529"/>
          <w:sz w:val="24"/>
          <w:szCs w:val="24"/>
          <w:shd w:val="clear" w:color="auto" w:fill="FFFFFF"/>
        </w:rPr>
        <w:t>.</w:t>
      </w:r>
      <w:r w:rsidRPr="00C8605A">
        <w:rPr>
          <w:rFonts w:ascii="Times New Roman" w:hAnsi="Times New Roman" w:cs="Times New Roman"/>
          <w:b/>
          <w:bCs/>
          <w:color w:val="212529"/>
          <w:sz w:val="24"/>
          <w:szCs w:val="24"/>
          <w:shd w:val="clear" w:color="auto" w:fill="FFFFFF"/>
        </w:rPr>
        <w:t xml:space="preserve"> </w:t>
      </w:r>
      <w:r w:rsidRPr="003A0A70">
        <w:rPr>
          <w:rFonts w:ascii="Times New Roman" w:hAnsi="Times New Roman" w:cs="Times New Roman"/>
          <w:color w:val="212529"/>
          <w:sz w:val="24"/>
          <w:szCs w:val="24"/>
          <w:shd w:val="clear" w:color="auto" w:fill="FFFFFF"/>
        </w:rPr>
        <w:t>EA’s inventory</w:t>
      </w:r>
      <w:r w:rsidR="00627FB1">
        <w:rPr>
          <w:rFonts w:ascii="Times New Roman" w:hAnsi="Times New Roman" w:cs="Times New Roman"/>
          <w:color w:val="212529"/>
          <w:sz w:val="24"/>
          <w:szCs w:val="24"/>
          <w:shd w:val="clear" w:color="auto" w:fill="FFFFFF"/>
        </w:rPr>
        <w:t xml:space="preserve"> has plummeted to zero in 2019, therefore causing their</w:t>
      </w:r>
      <w:r w:rsidRPr="003A0A70">
        <w:rPr>
          <w:rFonts w:ascii="Times New Roman" w:hAnsi="Times New Roman" w:cs="Times New Roman"/>
          <w:color w:val="212529"/>
          <w:sz w:val="24"/>
          <w:szCs w:val="24"/>
          <w:shd w:val="clear" w:color="auto" w:fill="FFFFFF"/>
        </w:rPr>
        <w:t xml:space="preserve"> </w:t>
      </w:r>
      <w:r w:rsidR="00627FB1">
        <w:rPr>
          <w:rFonts w:ascii="Times New Roman" w:hAnsi="Times New Roman" w:cs="Times New Roman"/>
          <w:color w:val="212529"/>
          <w:sz w:val="24"/>
          <w:szCs w:val="24"/>
          <w:shd w:val="clear" w:color="auto" w:fill="FFFFFF"/>
        </w:rPr>
        <w:t xml:space="preserve">inventory </w:t>
      </w:r>
      <w:r w:rsidRPr="003A0A70">
        <w:rPr>
          <w:rFonts w:ascii="Times New Roman" w:hAnsi="Times New Roman" w:cs="Times New Roman"/>
          <w:color w:val="212529"/>
          <w:sz w:val="24"/>
          <w:szCs w:val="24"/>
          <w:shd w:val="clear" w:color="auto" w:fill="FFFFFF"/>
        </w:rPr>
        <w:t xml:space="preserve">turnover </w:t>
      </w:r>
      <w:r w:rsidR="00627FB1">
        <w:rPr>
          <w:rFonts w:ascii="Times New Roman" w:hAnsi="Times New Roman" w:cs="Times New Roman"/>
          <w:color w:val="212529"/>
          <w:sz w:val="24"/>
          <w:szCs w:val="24"/>
          <w:shd w:val="clear" w:color="auto" w:fill="FFFFFF"/>
        </w:rPr>
        <w:t>of</w:t>
      </w:r>
      <w:r w:rsidRPr="003A0A70">
        <w:rPr>
          <w:rFonts w:ascii="Times New Roman" w:hAnsi="Times New Roman" w:cs="Times New Roman"/>
          <w:color w:val="212529"/>
          <w:sz w:val="24"/>
          <w:szCs w:val="24"/>
          <w:shd w:val="clear" w:color="auto" w:fill="FFFFFF"/>
        </w:rPr>
        <w:t xml:space="preserve"> 39.69 in 2015 to</w:t>
      </w:r>
      <w:r w:rsidR="00627FB1">
        <w:rPr>
          <w:rFonts w:ascii="Times New Roman" w:hAnsi="Times New Roman" w:cs="Times New Roman"/>
          <w:color w:val="212529"/>
          <w:sz w:val="24"/>
          <w:szCs w:val="24"/>
          <w:shd w:val="clear" w:color="auto" w:fill="FFFFFF"/>
        </w:rPr>
        <w:t xml:space="preserve"> become uncalculatable in </w:t>
      </w:r>
      <w:r w:rsidRPr="003A0A70">
        <w:rPr>
          <w:rFonts w:ascii="Times New Roman" w:hAnsi="Times New Roman" w:cs="Times New Roman"/>
          <w:color w:val="212529"/>
          <w:sz w:val="24"/>
          <w:szCs w:val="24"/>
          <w:shd w:val="clear" w:color="auto" w:fill="FFFFFF"/>
        </w:rPr>
        <w:t>2019 due to EA restructuring their business to eliminate inventory and have retailer</w:t>
      </w:r>
      <w:r w:rsidR="00627FB1">
        <w:rPr>
          <w:rFonts w:ascii="Times New Roman" w:hAnsi="Times New Roman" w:cs="Times New Roman"/>
          <w:color w:val="212529"/>
          <w:sz w:val="24"/>
          <w:szCs w:val="24"/>
          <w:shd w:val="clear" w:color="auto" w:fill="FFFFFF"/>
        </w:rPr>
        <w:t>s</w:t>
      </w:r>
      <w:r w:rsidRPr="003A0A70">
        <w:rPr>
          <w:rFonts w:ascii="Times New Roman" w:hAnsi="Times New Roman" w:cs="Times New Roman"/>
          <w:color w:val="212529"/>
          <w:sz w:val="24"/>
          <w:szCs w:val="24"/>
          <w:shd w:val="clear" w:color="auto" w:fill="FFFFFF"/>
        </w:rPr>
        <w:t xml:space="preserve"> sell their merchandise. Also, the rise of downloading games rather than purchasing a CD might</w:t>
      </w:r>
      <w:r w:rsidR="00627FB1">
        <w:rPr>
          <w:rFonts w:ascii="Times New Roman" w:hAnsi="Times New Roman" w:cs="Times New Roman"/>
          <w:color w:val="212529"/>
          <w:sz w:val="24"/>
          <w:szCs w:val="24"/>
          <w:shd w:val="clear" w:color="auto" w:fill="FFFFFF"/>
        </w:rPr>
        <w:t xml:space="preserve"> have</w:t>
      </w:r>
      <w:r w:rsidRPr="003A0A70">
        <w:rPr>
          <w:rFonts w:ascii="Times New Roman" w:hAnsi="Times New Roman" w:cs="Times New Roman"/>
          <w:color w:val="212529"/>
          <w:sz w:val="24"/>
          <w:szCs w:val="24"/>
          <w:shd w:val="clear" w:color="auto" w:fill="FFFFFF"/>
        </w:rPr>
        <w:t xml:space="preserve"> attribute</w:t>
      </w:r>
      <w:r w:rsidR="00627FB1">
        <w:rPr>
          <w:rFonts w:ascii="Times New Roman" w:hAnsi="Times New Roman" w:cs="Times New Roman"/>
          <w:color w:val="212529"/>
          <w:sz w:val="24"/>
          <w:szCs w:val="24"/>
          <w:shd w:val="clear" w:color="auto" w:fill="FFFFFF"/>
        </w:rPr>
        <w:t>d</w:t>
      </w:r>
      <w:r w:rsidRPr="003A0A70">
        <w:rPr>
          <w:rFonts w:ascii="Times New Roman" w:hAnsi="Times New Roman" w:cs="Times New Roman"/>
          <w:color w:val="212529"/>
          <w:sz w:val="24"/>
          <w:szCs w:val="24"/>
          <w:shd w:val="clear" w:color="auto" w:fill="FFFFFF"/>
        </w:rPr>
        <w:t xml:space="preserve"> to this fall in inventory. Their collections period has increased from 29.25 in 2015 to 45.94 in 2019, which indicates that the business may need better communication with customers regarding debts and the firm’s expectation of payment. The payables period has fluctuated but has increased from 2015 to 2019. This indicates that they have the money they would use to pay their debts for longer, meaning they have more time to utilize these monies to generate revenue. Fixed asset turnover has increased from 2015 whiles total asset turnover has fallen</w:t>
      </w:r>
      <w:r w:rsidR="00627FB1">
        <w:rPr>
          <w:rFonts w:ascii="Times New Roman" w:hAnsi="Times New Roman" w:cs="Times New Roman"/>
          <w:color w:val="212529"/>
          <w:sz w:val="24"/>
          <w:szCs w:val="24"/>
          <w:shd w:val="clear" w:color="auto" w:fill="FFFFFF"/>
        </w:rPr>
        <w:t>. T</w:t>
      </w:r>
      <w:r w:rsidRPr="003A0A70">
        <w:rPr>
          <w:rFonts w:ascii="Times New Roman" w:hAnsi="Times New Roman" w:cs="Times New Roman"/>
          <w:color w:val="212529"/>
          <w:sz w:val="24"/>
          <w:szCs w:val="24"/>
          <w:shd w:val="clear" w:color="auto" w:fill="FFFFFF"/>
        </w:rPr>
        <w:t xml:space="preserve">his might be due to the increase in the firm’s collection period. </w:t>
      </w:r>
    </w:p>
    <w:p w14:paraId="36B8A451" w14:textId="29BD2D6A" w:rsidR="007F5A7D" w:rsidRPr="003A0A70" w:rsidRDefault="007F5A7D" w:rsidP="0071636B">
      <w:pPr>
        <w:spacing w:line="480" w:lineRule="auto"/>
        <w:ind w:firstLine="720"/>
        <w:contextualSpacing/>
        <w:rPr>
          <w:rFonts w:ascii="Times New Roman" w:hAnsi="Times New Roman" w:cs="Times New Roman"/>
          <w:color w:val="212529"/>
          <w:sz w:val="24"/>
          <w:szCs w:val="24"/>
          <w:shd w:val="clear" w:color="auto" w:fill="FFFFFF"/>
        </w:rPr>
      </w:pPr>
      <w:r w:rsidRPr="003A0A70">
        <w:rPr>
          <w:rFonts w:ascii="Times New Roman" w:hAnsi="Times New Roman" w:cs="Times New Roman"/>
          <w:color w:val="212529"/>
          <w:sz w:val="24"/>
          <w:szCs w:val="24"/>
          <w:shd w:val="clear" w:color="auto" w:fill="FFFFFF"/>
        </w:rPr>
        <w:t>Activision Blizzard’s inventory turnover has increased drastically from 2015 to 2019 d</w:t>
      </w:r>
      <w:r w:rsidR="00627FB1">
        <w:rPr>
          <w:rFonts w:ascii="Times New Roman" w:hAnsi="Times New Roman" w:cs="Times New Roman"/>
          <w:color w:val="212529"/>
          <w:sz w:val="24"/>
          <w:szCs w:val="24"/>
          <w:shd w:val="clear" w:color="auto" w:fill="FFFFFF"/>
        </w:rPr>
        <w:t xml:space="preserve">ue to the industry trend </w:t>
      </w:r>
      <w:r w:rsidR="002A7BF3">
        <w:rPr>
          <w:rFonts w:ascii="Times New Roman" w:hAnsi="Times New Roman" w:cs="Times New Roman"/>
          <w:color w:val="212529"/>
          <w:sz w:val="24"/>
          <w:szCs w:val="24"/>
          <w:shd w:val="clear" w:color="auto" w:fill="FFFFFF"/>
        </w:rPr>
        <w:t>of retailers</w:t>
      </w:r>
      <w:r w:rsidR="00627FB1">
        <w:rPr>
          <w:rFonts w:ascii="Times New Roman" w:hAnsi="Times New Roman" w:cs="Times New Roman"/>
          <w:color w:val="212529"/>
          <w:sz w:val="24"/>
          <w:szCs w:val="24"/>
          <w:shd w:val="clear" w:color="auto" w:fill="FFFFFF"/>
        </w:rPr>
        <w:t xml:space="preserve"> and distributors </w:t>
      </w:r>
      <w:r w:rsidRPr="003A0A70">
        <w:rPr>
          <w:rFonts w:ascii="Times New Roman" w:hAnsi="Times New Roman" w:cs="Times New Roman"/>
          <w:color w:val="212529"/>
          <w:sz w:val="24"/>
          <w:szCs w:val="24"/>
          <w:shd w:val="clear" w:color="auto" w:fill="FFFFFF"/>
        </w:rPr>
        <w:t>sell</w:t>
      </w:r>
      <w:r w:rsidR="00627FB1">
        <w:rPr>
          <w:rFonts w:ascii="Times New Roman" w:hAnsi="Times New Roman" w:cs="Times New Roman"/>
          <w:color w:val="212529"/>
          <w:sz w:val="24"/>
          <w:szCs w:val="24"/>
          <w:shd w:val="clear" w:color="auto" w:fill="FFFFFF"/>
        </w:rPr>
        <w:t>ing company</w:t>
      </w:r>
      <w:r w:rsidRPr="003A0A70">
        <w:rPr>
          <w:rFonts w:ascii="Times New Roman" w:hAnsi="Times New Roman" w:cs="Times New Roman"/>
          <w:color w:val="212529"/>
          <w:sz w:val="24"/>
          <w:szCs w:val="24"/>
          <w:shd w:val="clear" w:color="auto" w:fill="FFFFFF"/>
        </w:rPr>
        <w:t xml:space="preserve"> inventory and the rise of video game downloads. This fall in inventory has led to a drastic fall in the average age of inventory. Moreover, the collections period has remained steady and the payables period has fluctuated but has fallen. This might be good for the firm as it may mean that the firms are in a better financial position and can pay off its debt quicker. Fixed assets turnover and total assets turnover have remained steady across the five years, but EA’s total asset turnover is almost 50% less than the industry average. This suggests that the firm’s assets are not being utilized as well as it should in the industry. </w:t>
      </w:r>
    </w:p>
    <w:p w14:paraId="7F6B44A3" w14:textId="74F0045F" w:rsidR="0044141B" w:rsidRPr="00BD7C04" w:rsidRDefault="007F5A7D" w:rsidP="00BD7C04">
      <w:pPr>
        <w:spacing w:line="480" w:lineRule="auto"/>
        <w:ind w:firstLine="720"/>
        <w:contextualSpacing/>
        <w:rPr>
          <w:rFonts w:ascii="Times New Roman" w:hAnsi="Times New Roman" w:cs="Times New Roman"/>
          <w:b/>
          <w:bCs/>
          <w:i/>
          <w:iCs/>
          <w:color w:val="212529"/>
          <w:sz w:val="24"/>
          <w:szCs w:val="24"/>
          <w:shd w:val="clear" w:color="auto" w:fill="FFFFFF"/>
        </w:rPr>
      </w:pPr>
      <w:r w:rsidRPr="00BD7C04">
        <w:rPr>
          <w:rFonts w:ascii="Times New Roman" w:hAnsi="Times New Roman" w:cs="Times New Roman"/>
          <w:b/>
          <w:bCs/>
          <w:iCs/>
          <w:color w:val="212529"/>
          <w:sz w:val="24"/>
          <w:szCs w:val="24"/>
          <w:shd w:val="clear" w:color="auto" w:fill="FFFFFF"/>
        </w:rPr>
        <w:t>Cross</w:t>
      </w:r>
      <w:r w:rsidRPr="004B569D">
        <w:rPr>
          <w:rFonts w:ascii="Times New Roman" w:hAnsi="Times New Roman" w:cs="Times New Roman"/>
          <w:b/>
          <w:bCs/>
          <w:i/>
          <w:iCs/>
          <w:color w:val="212529"/>
          <w:sz w:val="24"/>
          <w:szCs w:val="24"/>
          <w:shd w:val="clear" w:color="auto" w:fill="FFFFFF"/>
        </w:rPr>
        <w:t xml:space="preserve"> </w:t>
      </w:r>
      <w:r w:rsidRPr="00BD7C04">
        <w:rPr>
          <w:rFonts w:ascii="Times New Roman" w:hAnsi="Times New Roman" w:cs="Times New Roman"/>
          <w:b/>
          <w:bCs/>
          <w:iCs/>
          <w:color w:val="212529"/>
          <w:sz w:val="24"/>
          <w:szCs w:val="24"/>
          <w:shd w:val="clear" w:color="auto" w:fill="FFFFFF"/>
        </w:rPr>
        <w:t>Sectional</w:t>
      </w:r>
      <w:r w:rsidRPr="004B569D">
        <w:rPr>
          <w:rFonts w:ascii="Times New Roman" w:hAnsi="Times New Roman" w:cs="Times New Roman"/>
          <w:b/>
          <w:bCs/>
          <w:i/>
          <w:iCs/>
          <w:color w:val="212529"/>
          <w:sz w:val="24"/>
          <w:szCs w:val="24"/>
          <w:shd w:val="clear" w:color="auto" w:fill="FFFFFF"/>
        </w:rPr>
        <w:t xml:space="preserve"> </w:t>
      </w:r>
      <w:r w:rsidRPr="00BD7C04">
        <w:rPr>
          <w:rFonts w:ascii="Times New Roman" w:hAnsi="Times New Roman" w:cs="Times New Roman"/>
          <w:b/>
          <w:bCs/>
          <w:iCs/>
          <w:color w:val="212529"/>
          <w:sz w:val="24"/>
          <w:szCs w:val="24"/>
          <w:shd w:val="clear" w:color="auto" w:fill="FFFFFF"/>
        </w:rPr>
        <w:t>Analysis</w:t>
      </w:r>
      <w:r w:rsidR="00BD7C04">
        <w:rPr>
          <w:rFonts w:ascii="Times New Roman" w:hAnsi="Times New Roman" w:cs="Times New Roman"/>
          <w:b/>
          <w:bCs/>
          <w:iCs/>
          <w:color w:val="212529"/>
          <w:sz w:val="24"/>
          <w:szCs w:val="24"/>
          <w:shd w:val="clear" w:color="auto" w:fill="FFFFFF"/>
        </w:rPr>
        <w:t>.</w:t>
      </w:r>
      <w:r w:rsidR="00BD7C04">
        <w:rPr>
          <w:rFonts w:ascii="Times New Roman" w:hAnsi="Times New Roman" w:cs="Times New Roman"/>
          <w:b/>
          <w:bCs/>
          <w:i/>
          <w:iCs/>
          <w:color w:val="212529"/>
          <w:sz w:val="24"/>
          <w:szCs w:val="24"/>
          <w:shd w:val="clear" w:color="auto" w:fill="FFFFFF"/>
        </w:rPr>
        <w:t xml:space="preserve"> </w:t>
      </w:r>
      <w:r w:rsidRPr="003A0A70">
        <w:rPr>
          <w:rFonts w:ascii="Times New Roman" w:hAnsi="Times New Roman" w:cs="Times New Roman"/>
          <w:color w:val="212529"/>
          <w:sz w:val="24"/>
          <w:szCs w:val="24"/>
          <w:shd w:val="clear" w:color="auto" w:fill="FFFFFF"/>
        </w:rPr>
        <w:t xml:space="preserve">When comparing the two companies, Activision Blizzard has a significantly better inventory turnover, along with the average age of inventory. </w:t>
      </w:r>
      <w:r w:rsidR="00627FB1">
        <w:rPr>
          <w:rFonts w:ascii="Times New Roman" w:hAnsi="Times New Roman" w:cs="Times New Roman"/>
          <w:color w:val="212529"/>
          <w:sz w:val="24"/>
          <w:szCs w:val="24"/>
          <w:shd w:val="clear" w:color="auto" w:fill="FFFFFF"/>
        </w:rPr>
        <w:t xml:space="preserve">However, both companies seem to be changing their supply structure to not hold </w:t>
      </w:r>
      <w:r w:rsidR="002A7BF3">
        <w:rPr>
          <w:rFonts w:ascii="Times New Roman" w:hAnsi="Times New Roman" w:cs="Times New Roman"/>
          <w:color w:val="212529"/>
          <w:sz w:val="24"/>
          <w:szCs w:val="24"/>
          <w:shd w:val="clear" w:color="auto" w:fill="FFFFFF"/>
        </w:rPr>
        <w:t>any inventory</w:t>
      </w:r>
      <w:r w:rsidR="00627FB1">
        <w:rPr>
          <w:rFonts w:ascii="Times New Roman" w:hAnsi="Times New Roman" w:cs="Times New Roman"/>
          <w:color w:val="212529"/>
          <w:sz w:val="24"/>
          <w:szCs w:val="24"/>
          <w:shd w:val="clear" w:color="auto" w:fill="FFFFFF"/>
        </w:rPr>
        <w:t xml:space="preserve">, </w:t>
      </w:r>
      <w:r w:rsidR="002A7BF3">
        <w:rPr>
          <w:rFonts w:ascii="Times New Roman" w:hAnsi="Times New Roman" w:cs="Times New Roman"/>
          <w:color w:val="212529"/>
          <w:sz w:val="24"/>
          <w:szCs w:val="24"/>
          <w:shd w:val="clear" w:color="auto" w:fill="FFFFFF"/>
        </w:rPr>
        <w:t xml:space="preserve">as </w:t>
      </w:r>
      <w:r w:rsidR="002A7BF3" w:rsidRPr="003A0A70">
        <w:rPr>
          <w:rFonts w:ascii="Times New Roman" w:hAnsi="Times New Roman" w:cs="Times New Roman"/>
          <w:color w:val="212529"/>
          <w:sz w:val="24"/>
          <w:szCs w:val="24"/>
          <w:shd w:val="clear" w:color="auto" w:fill="FFFFFF"/>
        </w:rPr>
        <w:t>Electronic</w:t>
      </w:r>
      <w:r w:rsidRPr="003A0A70">
        <w:rPr>
          <w:rFonts w:ascii="Times New Roman" w:hAnsi="Times New Roman" w:cs="Times New Roman"/>
          <w:color w:val="212529"/>
          <w:sz w:val="24"/>
          <w:szCs w:val="24"/>
          <w:shd w:val="clear" w:color="auto" w:fill="FFFFFF"/>
        </w:rPr>
        <w:t xml:space="preserve"> </w:t>
      </w:r>
      <w:r w:rsidRPr="003A0A70">
        <w:rPr>
          <w:rFonts w:ascii="Times New Roman" w:hAnsi="Times New Roman" w:cs="Times New Roman"/>
          <w:color w:val="212529"/>
          <w:sz w:val="24"/>
          <w:szCs w:val="24"/>
          <w:shd w:val="clear" w:color="auto" w:fill="FFFFFF"/>
        </w:rPr>
        <w:lastRenderedPageBreak/>
        <w:t>Arts do</w:t>
      </w:r>
      <w:r w:rsidR="006647FA">
        <w:rPr>
          <w:rFonts w:ascii="Times New Roman" w:hAnsi="Times New Roman" w:cs="Times New Roman"/>
          <w:color w:val="212529"/>
          <w:sz w:val="24"/>
          <w:szCs w:val="24"/>
          <w:shd w:val="clear" w:color="auto" w:fill="FFFFFF"/>
        </w:rPr>
        <w:t>es</w:t>
      </w:r>
      <w:r w:rsidRPr="003A0A70">
        <w:rPr>
          <w:rFonts w:ascii="Times New Roman" w:hAnsi="Times New Roman" w:cs="Times New Roman"/>
          <w:color w:val="212529"/>
          <w:sz w:val="24"/>
          <w:szCs w:val="24"/>
          <w:shd w:val="clear" w:color="auto" w:fill="FFFFFF"/>
        </w:rPr>
        <w:t xml:space="preserve"> not h</w:t>
      </w:r>
      <w:r w:rsidR="00C8605A">
        <w:rPr>
          <w:rFonts w:ascii="Times New Roman" w:hAnsi="Times New Roman" w:cs="Times New Roman"/>
          <w:color w:val="212529"/>
          <w:sz w:val="24"/>
          <w:szCs w:val="24"/>
          <w:shd w:val="clear" w:color="auto" w:fill="FFFFFF"/>
        </w:rPr>
        <w:t>ave any inventory figure</w:t>
      </w:r>
      <w:r w:rsidR="00627FB1">
        <w:rPr>
          <w:rFonts w:ascii="Times New Roman" w:hAnsi="Times New Roman" w:cs="Times New Roman"/>
          <w:color w:val="212529"/>
          <w:sz w:val="24"/>
          <w:szCs w:val="24"/>
          <w:shd w:val="clear" w:color="auto" w:fill="FFFFFF"/>
        </w:rPr>
        <w:t>s</w:t>
      </w:r>
      <w:r w:rsidR="00C8605A">
        <w:rPr>
          <w:rFonts w:ascii="Times New Roman" w:hAnsi="Times New Roman" w:cs="Times New Roman"/>
          <w:color w:val="212529"/>
          <w:sz w:val="24"/>
          <w:szCs w:val="24"/>
          <w:shd w:val="clear" w:color="auto" w:fill="FFFFFF"/>
        </w:rPr>
        <w:t xml:space="preserve"> recorded on their balance sheet from 2016</w:t>
      </w:r>
      <w:r w:rsidR="00627FB1">
        <w:rPr>
          <w:rFonts w:ascii="Times New Roman" w:hAnsi="Times New Roman" w:cs="Times New Roman"/>
          <w:color w:val="212529"/>
          <w:sz w:val="24"/>
          <w:szCs w:val="24"/>
          <w:shd w:val="clear" w:color="auto" w:fill="FFFFFF"/>
        </w:rPr>
        <w:t xml:space="preserve"> onwards</w:t>
      </w:r>
      <w:r w:rsidRPr="003A0A70">
        <w:rPr>
          <w:rFonts w:ascii="Times New Roman" w:hAnsi="Times New Roman" w:cs="Times New Roman"/>
          <w:color w:val="212529"/>
          <w:sz w:val="24"/>
          <w:szCs w:val="24"/>
          <w:shd w:val="clear" w:color="auto" w:fill="FFFFFF"/>
        </w:rPr>
        <w:t xml:space="preserve">. However, Electronic Arts </w:t>
      </w:r>
      <w:r w:rsidR="006647FA">
        <w:rPr>
          <w:rFonts w:ascii="Times New Roman" w:hAnsi="Times New Roman" w:cs="Times New Roman"/>
          <w:color w:val="212529"/>
          <w:sz w:val="24"/>
          <w:szCs w:val="24"/>
          <w:shd w:val="clear" w:color="auto" w:fill="FFFFFF"/>
        </w:rPr>
        <w:t>has</w:t>
      </w:r>
      <w:r w:rsidRPr="003A0A70">
        <w:rPr>
          <w:rFonts w:ascii="Times New Roman" w:hAnsi="Times New Roman" w:cs="Times New Roman"/>
          <w:color w:val="212529"/>
          <w:sz w:val="24"/>
          <w:szCs w:val="24"/>
          <w:shd w:val="clear" w:color="auto" w:fill="FFFFFF"/>
        </w:rPr>
        <w:t xml:space="preserve"> a slightly better collections period and payables period, </w:t>
      </w:r>
      <w:r w:rsidR="006647FA">
        <w:rPr>
          <w:rFonts w:ascii="Times New Roman" w:hAnsi="Times New Roman" w:cs="Times New Roman"/>
          <w:color w:val="212529"/>
          <w:sz w:val="24"/>
          <w:szCs w:val="24"/>
          <w:shd w:val="clear" w:color="auto" w:fill="FFFFFF"/>
        </w:rPr>
        <w:t xml:space="preserve">so </w:t>
      </w:r>
      <w:r w:rsidRPr="003A0A70">
        <w:rPr>
          <w:rFonts w:ascii="Times New Roman" w:hAnsi="Times New Roman" w:cs="Times New Roman"/>
          <w:color w:val="212529"/>
          <w:sz w:val="24"/>
          <w:szCs w:val="24"/>
          <w:shd w:val="clear" w:color="auto" w:fill="FFFFFF"/>
        </w:rPr>
        <w:t>this may indicate that they are in a better financial position than Activision Blizzard</w:t>
      </w:r>
      <w:r w:rsidR="00627FB1">
        <w:rPr>
          <w:rFonts w:ascii="Times New Roman" w:hAnsi="Times New Roman" w:cs="Times New Roman"/>
          <w:color w:val="212529"/>
          <w:sz w:val="24"/>
          <w:szCs w:val="24"/>
          <w:shd w:val="clear" w:color="auto" w:fill="FFFFFF"/>
        </w:rPr>
        <w:t xml:space="preserve">, as EA </w:t>
      </w:r>
      <w:r w:rsidR="002A7BF3">
        <w:rPr>
          <w:rFonts w:ascii="Times New Roman" w:hAnsi="Times New Roman" w:cs="Times New Roman"/>
          <w:color w:val="212529"/>
          <w:sz w:val="24"/>
          <w:szCs w:val="24"/>
          <w:shd w:val="clear" w:color="auto" w:fill="FFFFFF"/>
        </w:rPr>
        <w:t>is able</w:t>
      </w:r>
      <w:r w:rsidR="00627FB1">
        <w:rPr>
          <w:rFonts w:ascii="Times New Roman" w:hAnsi="Times New Roman" w:cs="Times New Roman"/>
          <w:color w:val="212529"/>
          <w:sz w:val="24"/>
          <w:szCs w:val="24"/>
          <w:shd w:val="clear" w:color="auto" w:fill="FFFFFF"/>
        </w:rPr>
        <w:t xml:space="preserve"> to get its money faster from customers and extend its payments to creditors longer</w:t>
      </w:r>
      <w:r w:rsidRPr="003A0A70">
        <w:rPr>
          <w:rFonts w:ascii="Times New Roman" w:hAnsi="Times New Roman" w:cs="Times New Roman"/>
          <w:color w:val="212529"/>
          <w:sz w:val="24"/>
          <w:szCs w:val="24"/>
          <w:shd w:val="clear" w:color="auto" w:fill="FFFFFF"/>
        </w:rPr>
        <w:t xml:space="preserve">. Activision Blizzard’s fixed asset turnover is significantly greater than Electronic Art’s but </w:t>
      </w:r>
      <w:r w:rsidR="002A7BF3">
        <w:rPr>
          <w:rFonts w:ascii="Times New Roman" w:hAnsi="Times New Roman" w:cs="Times New Roman"/>
          <w:color w:val="212529"/>
          <w:sz w:val="24"/>
          <w:szCs w:val="24"/>
          <w:shd w:val="clear" w:color="auto" w:fill="FFFFFF"/>
        </w:rPr>
        <w:t>ATVI’s</w:t>
      </w:r>
      <w:r w:rsidRPr="003A0A70">
        <w:rPr>
          <w:rFonts w:ascii="Times New Roman" w:hAnsi="Times New Roman" w:cs="Times New Roman"/>
          <w:color w:val="212529"/>
          <w:sz w:val="24"/>
          <w:szCs w:val="24"/>
          <w:shd w:val="clear" w:color="auto" w:fill="FFFFFF"/>
        </w:rPr>
        <w:t xml:space="preserve"> total asset turnover is lacking as it is 40% less than Electronic Art’s.</w:t>
      </w:r>
      <w:r w:rsidR="002A7BF3">
        <w:rPr>
          <w:rFonts w:ascii="Times New Roman" w:hAnsi="Times New Roman" w:cs="Times New Roman"/>
          <w:color w:val="212529"/>
          <w:sz w:val="24"/>
          <w:szCs w:val="24"/>
          <w:shd w:val="clear" w:color="auto" w:fill="FFFFFF"/>
        </w:rPr>
        <w:t xml:space="preserve"> This</w:t>
      </w:r>
      <w:r w:rsidR="00C8605A">
        <w:rPr>
          <w:rFonts w:ascii="Times New Roman" w:hAnsi="Times New Roman" w:cs="Times New Roman"/>
          <w:color w:val="212529"/>
          <w:sz w:val="24"/>
          <w:szCs w:val="24"/>
          <w:shd w:val="clear" w:color="auto" w:fill="FFFFFF"/>
        </w:rPr>
        <w:t xml:space="preserve"> mean</w:t>
      </w:r>
      <w:r w:rsidR="002A7BF3">
        <w:rPr>
          <w:rFonts w:ascii="Times New Roman" w:hAnsi="Times New Roman" w:cs="Times New Roman"/>
          <w:color w:val="212529"/>
          <w:sz w:val="24"/>
          <w:szCs w:val="24"/>
          <w:shd w:val="clear" w:color="auto" w:fill="FFFFFF"/>
        </w:rPr>
        <w:t>s</w:t>
      </w:r>
      <w:r w:rsidR="00C8605A">
        <w:rPr>
          <w:rFonts w:ascii="Times New Roman" w:hAnsi="Times New Roman" w:cs="Times New Roman"/>
          <w:color w:val="212529"/>
          <w:sz w:val="24"/>
          <w:szCs w:val="24"/>
          <w:shd w:val="clear" w:color="auto" w:fill="FFFFFF"/>
        </w:rPr>
        <w:t xml:space="preserve"> that Activision Blizzard’s asset management is more inefficient compared to Electronic Art</w:t>
      </w:r>
      <w:r w:rsidR="002A7BF3">
        <w:rPr>
          <w:rFonts w:ascii="Times New Roman" w:hAnsi="Times New Roman" w:cs="Times New Roman"/>
          <w:color w:val="212529"/>
          <w:sz w:val="24"/>
          <w:szCs w:val="24"/>
          <w:shd w:val="clear" w:color="auto" w:fill="FFFFFF"/>
        </w:rPr>
        <w:t>’s</w:t>
      </w:r>
      <w:r w:rsidR="00C8605A">
        <w:rPr>
          <w:rFonts w:ascii="Times New Roman" w:hAnsi="Times New Roman" w:cs="Times New Roman"/>
          <w:color w:val="212529"/>
          <w:sz w:val="24"/>
          <w:szCs w:val="24"/>
          <w:shd w:val="clear" w:color="auto" w:fill="FFFFFF"/>
        </w:rPr>
        <w:t>.</w:t>
      </w:r>
    </w:p>
    <w:p w14:paraId="7DA35F60" w14:textId="0D47C46A" w:rsidR="0044141B" w:rsidRPr="004B569D" w:rsidRDefault="007F5A7D" w:rsidP="0047120B">
      <w:pPr>
        <w:spacing w:line="480" w:lineRule="auto"/>
        <w:contextualSpacing/>
        <w:rPr>
          <w:rFonts w:ascii="Times New Roman" w:hAnsi="Times New Roman" w:cs="Times New Roman"/>
          <w:b/>
          <w:bCs/>
          <w:color w:val="212529"/>
          <w:sz w:val="24"/>
          <w:szCs w:val="24"/>
          <w:shd w:val="clear" w:color="auto" w:fill="FFFFFF"/>
        </w:rPr>
      </w:pPr>
      <w:r w:rsidRPr="004B569D">
        <w:rPr>
          <w:rFonts w:ascii="Times New Roman" w:hAnsi="Times New Roman" w:cs="Times New Roman"/>
          <w:b/>
          <w:bCs/>
          <w:color w:val="212529"/>
          <w:sz w:val="24"/>
          <w:szCs w:val="24"/>
          <w:shd w:val="clear" w:color="auto" w:fill="FFFFFF"/>
        </w:rPr>
        <w:t xml:space="preserve">Debt Ratios </w:t>
      </w:r>
    </w:p>
    <w:p w14:paraId="731927D8" w14:textId="72BE15C7" w:rsidR="007F5A7D" w:rsidRPr="003A0A70" w:rsidRDefault="007F5A7D" w:rsidP="0047120B">
      <w:pPr>
        <w:spacing w:line="480" w:lineRule="auto"/>
        <w:contextualSpacing/>
        <w:rPr>
          <w:rFonts w:ascii="Times New Roman" w:hAnsi="Times New Roman" w:cs="Times New Roman"/>
          <w:color w:val="000000" w:themeColor="text1"/>
          <w:sz w:val="24"/>
          <w:szCs w:val="24"/>
        </w:rPr>
      </w:pPr>
      <w:r w:rsidRPr="003A0A70">
        <w:rPr>
          <w:rFonts w:ascii="Times New Roman" w:hAnsi="Times New Roman" w:cs="Times New Roman"/>
          <w:color w:val="212529"/>
          <w:sz w:val="24"/>
          <w:szCs w:val="24"/>
          <w:shd w:val="clear" w:color="auto" w:fill="FFFFFF"/>
        </w:rPr>
        <w:t>Debt rat</w:t>
      </w:r>
      <w:r w:rsidR="002A7BF3">
        <w:rPr>
          <w:rFonts w:ascii="Times New Roman" w:hAnsi="Times New Roman" w:cs="Times New Roman"/>
          <w:color w:val="212529"/>
          <w:sz w:val="24"/>
          <w:szCs w:val="24"/>
          <w:shd w:val="clear" w:color="auto" w:fill="FFFFFF"/>
        </w:rPr>
        <w:t>ios measure the extent that</w:t>
      </w:r>
      <w:r w:rsidRPr="003A0A70">
        <w:rPr>
          <w:rFonts w:ascii="Times New Roman" w:hAnsi="Times New Roman" w:cs="Times New Roman"/>
          <w:color w:val="212529"/>
          <w:sz w:val="24"/>
          <w:szCs w:val="24"/>
          <w:shd w:val="clear" w:color="auto" w:fill="FFFFFF"/>
        </w:rPr>
        <w:t xml:space="preserve"> a firm uses its debt to fund its business and its ability to repay that debt. The more debt a firm has, the greater its risk of being unable to pay back its debt payments. Below are two tables showing the debt ratios of both companies.</w:t>
      </w:r>
    </w:p>
    <w:tbl>
      <w:tblPr>
        <w:tblW w:w="9360" w:type="dxa"/>
        <w:tblLayout w:type="fixed"/>
        <w:tblLook w:val="04A0" w:firstRow="1" w:lastRow="0" w:firstColumn="1" w:lastColumn="0" w:noHBand="0" w:noVBand="1"/>
      </w:tblPr>
      <w:tblGrid>
        <w:gridCol w:w="2160"/>
        <w:gridCol w:w="1098"/>
        <w:gridCol w:w="1220"/>
        <w:gridCol w:w="1221"/>
        <w:gridCol w:w="1220"/>
        <w:gridCol w:w="1220"/>
        <w:gridCol w:w="1221"/>
      </w:tblGrid>
      <w:tr w:rsidR="003F7E1E" w:rsidRPr="003A0A70" w14:paraId="2F2921B4" w14:textId="77777777" w:rsidTr="008D2EBD">
        <w:trPr>
          <w:trHeight w:val="405"/>
        </w:trPr>
        <w:tc>
          <w:tcPr>
            <w:tcW w:w="9360" w:type="dxa"/>
            <w:gridSpan w:val="7"/>
            <w:tcBorders>
              <w:top w:val="nil"/>
              <w:left w:val="nil"/>
              <w:bottom w:val="single" w:sz="12" w:space="0" w:color="4472C4"/>
              <w:right w:val="nil"/>
            </w:tcBorders>
            <w:shd w:val="clear" w:color="000000" w:fill="8EA9DB"/>
            <w:noWrap/>
            <w:vAlign w:val="bottom"/>
            <w:hideMark/>
          </w:tcPr>
          <w:p w14:paraId="0CDDAC56" w14:textId="77777777" w:rsidR="003F7E1E" w:rsidRPr="003A0A70" w:rsidRDefault="003F7E1E" w:rsidP="003F7E1E">
            <w:pPr>
              <w:spacing w:after="0" w:line="240" w:lineRule="auto"/>
              <w:jc w:val="center"/>
              <w:rPr>
                <w:rFonts w:ascii="Times New Roman" w:eastAsia="Times New Roman" w:hAnsi="Times New Roman" w:cs="Times New Roman"/>
                <w:b/>
                <w:bCs/>
                <w:color w:val="44546A"/>
                <w:sz w:val="24"/>
                <w:szCs w:val="24"/>
              </w:rPr>
            </w:pPr>
            <w:r w:rsidRPr="003A0A70">
              <w:rPr>
                <w:rFonts w:ascii="Times New Roman" w:eastAsia="Times New Roman" w:hAnsi="Times New Roman" w:cs="Times New Roman"/>
                <w:b/>
                <w:bCs/>
                <w:color w:val="44546A"/>
                <w:sz w:val="24"/>
                <w:szCs w:val="24"/>
              </w:rPr>
              <w:t>Electronic Arts - Debt Ratios</w:t>
            </w:r>
          </w:p>
        </w:tc>
      </w:tr>
      <w:tr w:rsidR="003F7E1E" w:rsidRPr="003A0A70" w14:paraId="1482A1EA" w14:textId="77777777" w:rsidTr="00BD7C04">
        <w:trPr>
          <w:trHeight w:val="315"/>
        </w:trPr>
        <w:tc>
          <w:tcPr>
            <w:tcW w:w="2160" w:type="dxa"/>
            <w:tcBorders>
              <w:top w:val="nil"/>
              <w:left w:val="nil"/>
              <w:bottom w:val="nil"/>
              <w:right w:val="nil"/>
            </w:tcBorders>
            <w:shd w:val="clear" w:color="000000" w:fill="4472C4"/>
            <w:noWrap/>
            <w:vAlign w:val="bottom"/>
            <w:hideMark/>
          </w:tcPr>
          <w:p w14:paraId="57FED4A6" w14:textId="77777777" w:rsidR="003F7E1E" w:rsidRPr="003A0A70" w:rsidRDefault="003F7E1E" w:rsidP="003F7E1E">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 </w:t>
            </w:r>
          </w:p>
        </w:tc>
        <w:tc>
          <w:tcPr>
            <w:tcW w:w="1098" w:type="dxa"/>
            <w:tcBorders>
              <w:top w:val="single" w:sz="4" w:space="0" w:color="8EA9DB"/>
              <w:left w:val="single" w:sz="4" w:space="0" w:color="8EA9DB"/>
              <w:bottom w:val="single" w:sz="4" w:space="0" w:color="8EA9DB"/>
              <w:right w:val="nil"/>
            </w:tcBorders>
            <w:shd w:val="clear" w:color="4472C4" w:fill="4472C4"/>
            <w:noWrap/>
            <w:vAlign w:val="bottom"/>
            <w:hideMark/>
          </w:tcPr>
          <w:p w14:paraId="6630D179" w14:textId="77777777" w:rsidR="003F7E1E" w:rsidRPr="003A0A70" w:rsidRDefault="003F7E1E" w:rsidP="003F7E1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2019</w:t>
            </w:r>
          </w:p>
        </w:tc>
        <w:tc>
          <w:tcPr>
            <w:tcW w:w="1220" w:type="dxa"/>
            <w:tcBorders>
              <w:top w:val="single" w:sz="4" w:space="0" w:color="8EA9DB"/>
              <w:left w:val="nil"/>
              <w:bottom w:val="single" w:sz="4" w:space="0" w:color="8EA9DB"/>
              <w:right w:val="nil"/>
            </w:tcBorders>
            <w:shd w:val="clear" w:color="4472C4" w:fill="4472C4"/>
            <w:noWrap/>
            <w:vAlign w:val="bottom"/>
            <w:hideMark/>
          </w:tcPr>
          <w:p w14:paraId="79E101BE" w14:textId="77777777" w:rsidR="003F7E1E" w:rsidRPr="003A0A70" w:rsidRDefault="003F7E1E" w:rsidP="003F7E1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2018</w:t>
            </w:r>
          </w:p>
        </w:tc>
        <w:tc>
          <w:tcPr>
            <w:tcW w:w="1221" w:type="dxa"/>
            <w:tcBorders>
              <w:top w:val="single" w:sz="4" w:space="0" w:color="8EA9DB"/>
              <w:left w:val="nil"/>
              <w:bottom w:val="single" w:sz="4" w:space="0" w:color="8EA9DB"/>
              <w:right w:val="nil"/>
            </w:tcBorders>
            <w:shd w:val="clear" w:color="4472C4" w:fill="4472C4"/>
            <w:noWrap/>
            <w:vAlign w:val="bottom"/>
            <w:hideMark/>
          </w:tcPr>
          <w:p w14:paraId="480CE0B7" w14:textId="77777777" w:rsidR="003F7E1E" w:rsidRPr="003A0A70" w:rsidRDefault="003F7E1E" w:rsidP="003F7E1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2017</w:t>
            </w:r>
          </w:p>
        </w:tc>
        <w:tc>
          <w:tcPr>
            <w:tcW w:w="1220" w:type="dxa"/>
            <w:tcBorders>
              <w:top w:val="single" w:sz="4" w:space="0" w:color="8EA9DB"/>
              <w:left w:val="nil"/>
              <w:bottom w:val="single" w:sz="4" w:space="0" w:color="8EA9DB"/>
              <w:right w:val="nil"/>
            </w:tcBorders>
            <w:shd w:val="clear" w:color="4472C4" w:fill="4472C4"/>
            <w:noWrap/>
            <w:vAlign w:val="bottom"/>
            <w:hideMark/>
          </w:tcPr>
          <w:p w14:paraId="3115AEB6" w14:textId="77777777" w:rsidR="003F7E1E" w:rsidRPr="003A0A70" w:rsidRDefault="003F7E1E" w:rsidP="003F7E1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2016</w:t>
            </w:r>
          </w:p>
        </w:tc>
        <w:tc>
          <w:tcPr>
            <w:tcW w:w="1220" w:type="dxa"/>
            <w:tcBorders>
              <w:top w:val="single" w:sz="4" w:space="0" w:color="8EA9DB"/>
              <w:left w:val="nil"/>
              <w:bottom w:val="single" w:sz="4" w:space="0" w:color="8EA9DB"/>
              <w:right w:val="nil"/>
            </w:tcBorders>
            <w:shd w:val="clear" w:color="4472C4" w:fill="4472C4"/>
            <w:noWrap/>
            <w:vAlign w:val="bottom"/>
            <w:hideMark/>
          </w:tcPr>
          <w:p w14:paraId="27DC5AFA" w14:textId="77777777" w:rsidR="003F7E1E" w:rsidRPr="003A0A70" w:rsidRDefault="003F7E1E" w:rsidP="003F7E1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2015</w:t>
            </w:r>
          </w:p>
        </w:tc>
        <w:tc>
          <w:tcPr>
            <w:tcW w:w="1221" w:type="dxa"/>
            <w:tcBorders>
              <w:top w:val="single" w:sz="4" w:space="0" w:color="8EA9DB"/>
              <w:left w:val="nil"/>
              <w:bottom w:val="single" w:sz="4" w:space="0" w:color="8EA9DB"/>
              <w:right w:val="single" w:sz="4" w:space="0" w:color="8EA9DB"/>
            </w:tcBorders>
            <w:shd w:val="clear" w:color="4472C4" w:fill="4472C4"/>
            <w:noWrap/>
            <w:vAlign w:val="bottom"/>
            <w:hideMark/>
          </w:tcPr>
          <w:p w14:paraId="4B9B0103" w14:textId="77777777" w:rsidR="003F7E1E" w:rsidRPr="003A0A70" w:rsidRDefault="003F7E1E" w:rsidP="003F7E1E">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Industry Average</w:t>
            </w:r>
          </w:p>
        </w:tc>
      </w:tr>
      <w:tr w:rsidR="003F7E1E" w:rsidRPr="003A0A70" w14:paraId="5B4EEC8C" w14:textId="77777777" w:rsidTr="008D2EBD">
        <w:trPr>
          <w:trHeight w:val="432"/>
        </w:trPr>
        <w:tc>
          <w:tcPr>
            <w:tcW w:w="2160" w:type="dxa"/>
            <w:tcBorders>
              <w:top w:val="nil"/>
              <w:left w:val="nil"/>
              <w:bottom w:val="nil"/>
              <w:right w:val="nil"/>
            </w:tcBorders>
            <w:shd w:val="clear" w:color="000000" w:fill="0070C0"/>
            <w:noWrap/>
            <w:vAlign w:val="bottom"/>
            <w:hideMark/>
          </w:tcPr>
          <w:p w14:paraId="728A4EF8" w14:textId="77777777" w:rsidR="003F7E1E" w:rsidRPr="003A0A70" w:rsidRDefault="003F7E1E" w:rsidP="003F7E1E">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Debt Ratio</w:t>
            </w:r>
          </w:p>
        </w:tc>
        <w:tc>
          <w:tcPr>
            <w:tcW w:w="1098" w:type="dxa"/>
            <w:tcBorders>
              <w:top w:val="single" w:sz="4" w:space="0" w:color="8EA9DB"/>
              <w:left w:val="single" w:sz="4" w:space="0" w:color="8EA9DB"/>
              <w:bottom w:val="single" w:sz="4" w:space="0" w:color="8EA9DB"/>
              <w:right w:val="nil"/>
            </w:tcBorders>
            <w:shd w:val="clear" w:color="D9E1F2" w:fill="D9E1F2"/>
            <w:noWrap/>
            <w:vAlign w:val="bottom"/>
            <w:hideMark/>
          </w:tcPr>
          <w:p w14:paraId="3F046C71"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40.48%</w:t>
            </w:r>
          </w:p>
        </w:tc>
        <w:tc>
          <w:tcPr>
            <w:tcW w:w="1220" w:type="dxa"/>
            <w:tcBorders>
              <w:top w:val="single" w:sz="4" w:space="0" w:color="8EA9DB"/>
              <w:left w:val="nil"/>
              <w:bottom w:val="single" w:sz="4" w:space="0" w:color="8EA9DB"/>
              <w:right w:val="nil"/>
            </w:tcBorders>
            <w:shd w:val="clear" w:color="D9E1F2" w:fill="D9E1F2"/>
            <w:noWrap/>
            <w:vAlign w:val="bottom"/>
            <w:hideMark/>
          </w:tcPr>
          <w:p w14:paraId="27C0F7B4"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46.47%</w:t>
            </w:r>
          </w:p>
        </w:tc>
        <w:tc>
          <w:tcPr>
            <w:tcW w:w="1221" w:type="dxa"/>
            <w:tcBorders>
              <w:top w:val="single" w:sz="4" w:space="0" w:color="8EA9DB"/>
              <w:left w:val="nil"/>
              <w:bottom w:val="single" w:sz="4" w:space="0" w:color="8EA9DB"/>
              <w:right w:val="nil"/>
            </w:tcBorders>
            <w:shd w:val="clear" w:color="D9E1F2" w:fill="D9E1F2"/>
            <w:noWrap/>
            <w:vAlign w:val="bottom"/>
            <w:hideMark/>
          </w:tcPr>
          <w:p w14:paraId="30EB8743"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47.40%</w:t>
            </w:r>
          </w:p>
        </w:tc>
        <w:tc>
          <w:tcPr>
            <w:tcW w:w="1220" w:type="dxa"/>
            <w:tcBorders>
              <w:top w:val="single" w:sz="4" w:space="0" w:color="8EA9DB"/>
              <w:left w:val="nil"/>
              <w:bottom w:val="single" w:sz="4" w:space="0" w:color="8EA9DB"/>
              <w:right w:val="nil"/>
            </w:tcBorders>
            <w:shd w:val="clear" w:color="D9E1F2" w:fill="D9E1F2"/>
            <w:noWrap/>
            <w:vAlign w:val="bottom"/>
            <w:hideMark/>
          </w:tcPr>
          <w:p w14:paraId="56B0EB22"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51.80%</w:t>
            </w:r>
          </w:p>
        </w:tc>
        <w:tc>
          <w:tcPr>
            <w:tcW w:w="1220" w:type="dxa"/>
            <w:tcBorders>
              <w:top w:val="single" w:sz="4" w:space="0" w:color="8EA9DB"/>
              <w:left w:val="nil"/>
              <w:bottom w:val="single" w:sz="4" w:space="0" w:color="8EA9DB"/>
              <w:right w:val="nil"/>
            </w:tcBorders>
            <w:shd w:val="clear" w:color="D9E1F2" w:fill="D9E1F2"/>
            <w:noWrap/>
            <w:vAlign w:val="bottom"/>
            <w:hideMark/>
          </w:tcPr>
          <w:p w14:paraId="5C39505D"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50.11%</w:t>
            </w:r>
          </w:p>
        </w:tc>
        <w:tc>
          <w:tcPr>
            <w:tcW w:w="1221" w:type="dxa"/>
            <w:tcBorders>
              <w:top w:val="single" w:sz="4" w:space="0" w:color="8EA9DB"/>
              <w:left w:val="nil"/>
              <w:bottom w:val="single" w:sz="4" w:space="0" w:color="8EA9DB"/>
              <w:right w:val="single" w:sz="4" w:space="0" w:color="8EA9DB"/>
            </w:tcBorders>
            <w:shd w:val="clear" w:color="D9E1F2" w:fill="D9E1F2"/>
            <w:noWrap/>
            <w:vAlign w:val="bottom"/>
            <w:hideMark/>
          </w:tcPr>
          <w:p w14:paraId="1DCCF7E6"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p>
        </w:tc>
      </w:tr>
      <w:tr w:rsidR="003F7E1E" w:rsidRPr="003A0A70" w14:paraId="251A47DE" w14:textId="77777777" w:rsidTr="008D2EBD">
        <w:trPr>
          <w:trHeight w:val="432"/>
        </w:trPr>
        <w:tc>
          <w:tcPr>
            <w:tcW w:w="2160" w:type="dxa"/>
            <w:tcBorders>
              <w:top w:val="nil"/>
              <w:left w:val="nil"/>
              <w:bottom w:val="nil"/>
              <w:right w:val="nil"/>
            </w:tcBorders>
            <w:shd w:val="clear" w:color="000000" w:fill="0070C0"/>
            <w:noWrap/>
            <w:vAlign w:val="bottom"/>
            <w:hideMark/>
          </w:tcPr>
          <w:p w14:paraId="7DD5A753" w14:textId="77777777" w:rsidR="003F7E1E" w:rsidRPr="003A0A70" w:rsidRDefault="003F7E1E" w:rsidP="003F7E1E">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Times Interest Earned Ratio</w:t>
            </w:r>
          </w:p>
        </w:tc>
        <w:tc>
          <w:tcPr>
            <w:tcW w:w="1098" w:type="dxa"/>
            <w:tcBorders>
              <w:top w:val="single" w:sz="4" w:space="0" w:color="8EA9DB"/>
              <w:left w:val="single" w:sz="4" w:space="0" w:color="8EA9DB"/>
              <w:bottom w:val="single" w:sz="4" w:space="0" w:color="8EA9DB"/>
              <w:right w:val="nil"/>
            </w:tcBorders>
            <w:shd w:val="clear" w:color="auto" w:fill="auto"/>
            <w:noWrap/>
            <w:vAlign w:val="bottom"/>
            <w:hideMark/>
          </w:tcPr>
          <w:p w14:paraId="08810DA5"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22.13</w:t>
            </w:r>
          </w:p>
        </w:tc>
        <w:tc>
          <w:tcPr>
            <w:tcW w:w="1220" w:type="dxa"/>
            <w:tcBorders>
              <w:top w:val="single" w:sz="4" w:space="0" w:color="8EA9DB"/>
              <w:left w:val="nil"/>
              <w:bottom w:val="single" w:sz="4" w:space="0" w:color="8EA9DB"/>
              <w:right w:val="nil"/>
            </w:tcBorders>
            <w:shd w:val="clear" w:color="auto" w:fill="auto"/>
            <w:noWrap/>
            <w:vAlign w:val="bottom"/>
            <w:hideMark/>
          </w:tcPr>
          <w:p w14:paraId="59F53B65"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32.59</w:t>
            </w:r>
          </w:p>
        </w:tc>
        <w:tc>
          <w:tcPr>
            <w:tcW w:w="1221" w:type="dxa"/>
            <w:tcBorders>
              <w:top w:val="single" w:sz="4" w:space="0" w:color="8EA9DB"/>
              <w:left w:val="nil"/>
              <w:bottom w:val="single" w:sz="4" w:space="0" w:color="8EA9DB"/>
              <w:right w:val="nil"/>
            </w:tcBorders>
            <w:shd w:val="clear" w:color="auto" w:fill="auto"/>
            <w:noWrap/>
            <w:vAlign w:val="bottom"/>
            <w:hideMark/>
          </w:tcPr>
          <w:p w14:paraId="2FF48455"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26.04</w:t>
            </w:r>
          </w:p>
        </w:tc>
        <w:tc>
          <w:tcPr>
            <w:tcW w:w="1220" w:type="dxa"/>
            <w:tcBorders>
              <w:top w:val="single" w:sz="4" w:space="0" w:color="8EA9DB"/>
              <w:left w:val="nil"/>
              <w:bottom w:val="single" w:sz="4" w:space="0" w:color="8EA9DB"/>
              <w:right w:val="nil"/>
            </w:tcBorders>
            <w:shd w:val="clear" w:color="auto" w:fill="auto"/>
            <w:noWrap/>
            <w:vAlign w:val="bottom"/>
            <w:hideMark/>
          </w:tcPr>
          <w:p w14:paraId="52858745"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32.07</w:t>
            </w:r>
          </w:p>
        </w:tc>
        <w:tc>
          <w:tcPr>
            <w:tcW w:w="1220" w:type="dxa"/>
            <w:tcBorders>
              <w:top w:val="single" w:sz="4" w:space="0" w:color="8EA9DB"/>
              <w:left w:val="nil"/>
              <w:bottom w:val="single" w:sz="4" w:space="0" w:color="8EA9DB"/>
              <w:right w:val="nil"/>
            </w:tcBorders>
            <w:shd w:val="clear" w:color="auto" w:fill="auto"/>
            <w:noWrap/>
            <w:vAlign w:val="bottom"/>
            <w:hideMark/>
          </w:tcPr>
          <w:p w14:paraId="67A34C76"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30.58</w:t>
            </w:r>
          </w:p>
        </w:tc>
        <w:tc>
          <w:tcPr>
            <w:tcW w:w="1221" w:type="dxa"/>
            <w:tcBorders>
              <w:top w:val="single" w:sz="4" w:space="0" w:color="8EA9DB"/>
              <w:left w:val="nil"/>
              <w:bottom w:val="single" w:sz="4" w:space="0" w:color="8EA9DB"/>
              <w:right w:val="single" w:sz="4" w:space="0" w:color="8EA9DB"/>
            </w:tcBorders>
            <w:shd w:val="clear" w:color="auto" w:fill="auto"/>
            <w:noWrap/>
            <w:vAlign w:val="bottom"/>
            <w:hideMark/>
          </w:tcPr>
          <w:p w14:paraId="7EB9485E"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p>
        </w:tc>
      </w:tr>
      <w:tr w:rsidR="003F7E1E" w:rsidRPr="003A0A70" w14:paraId="3873CB03" w14:textId="77777777" w:rsidTr="008D2EBD">
        <w:trPr>
          <w:trHeight w:val="432"/>
        </w:trPr>
        <w:tc>
          <w:tcPr>
            <w:tcW w:w="2160" w:type="dxa"/>
            <w:tcBorders>
              <w:top w:val="nil"/>
              <w:left w:val="nil"/>
              <w:bottom w:val="nil"/>
              <w:right w:val="nil"/>
            </w:tcBorders>
            <w:shd w:val="clear" w:color="000000" w:fill="0070C0"/>
            <w:noWrap/>
            <w:vAlign w:val="bottom"/>
            <w:hideMark/>
          </w:tcPr>
          <w:p w14:paraId="7C43E417" w14:textId="77777777" w:rsidR="003F7E1E" w:rsidRPr="003A0A70" w:rsidRDefault="003F7E1E" w:rsidP="003F7E1E">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Debt-To-Equity Ratio</w:t>
            </w:r>
          </w:p>
        </w:tc>
        <w:tc>
          <w:tcPr>
            <w:tcW w:w="1098" w:type="dxa"/>
            <w:tcBorders>
              <w:top w:val="single" w:sz="4" w:space="0" w:color="8EA9DB"/>
              <w:left w:val="single" w:sz="4" w:space="0" w:color="8EA9DB"/>
              <w:bottom w:val="single" w:sz="4" w:space="0" w:color="8EA9DB"/>
              <w:right w:val="nil"/>
            </w:tcBorders>
            <w:shd w:val="clear" w:color="D9E1F2" w:fill="D9E1F2"/>
            <w:noWrap/>
            <w:vAlign w:val="bottom"/>
            <w:hideMark/>
          </w:tcPr>
          <w:p w14:paraId="53923B65"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0.19</w:t>
            </w:r>
          </w:p>
        </w:tc>
        <w:tc>
          <w:tcPr>
            <w:tcW w:w="1220" w:type="dxa"/>
            <w:tcBorders>
              <w:top w:val="single" w:sz="4" w:space="0" w:color="8EA9DB"/>
              <w:left w:val="nil"/>
              <w:bottom w:val="single" w:sz="4" w:space="0" w:color="8EA9DB"/>
              <w:right w:val="nil"/>
            </w:tcBorders>
            <w:shd w:val="clear" w:color="D9E1F2" w:fill="D9E1F2"/>
            <w:noWrap/>
            <w:vAlign w:val="bottom"/>
            <w:hideMark/>
          </w:tcPr>
          <w:p w14:paraId="2BFD610B"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0.22</w:t>
            </w:r>
          </w:p>
        </w:tc>
        <w:tc>
          <w:tcPr>
            <w:tcW w:w="1221" w:type="dxa"/>
            <w:tcBorders>
              <w:top w:val="single" w:sz="4" w:space="0" w:color="8EA9DB"/>
              <w:left w:val="nil"/>
              <w:bottom w:val="single" w:sz="4" w:space="0" w:color="8EA9DB"/>
              <w:right w:val="nil"/>
            </w:tcBorders>
            <w:shd w:val="clear" w:color="D9E1F2" w:fill="D9E1F2"/>
            <w:noWrap/>
            <w:vAlign w:val="bottom"/>
            <w:hideMark/>
          </w:tcPr>
          <w:p w14:paraId="3280A42F"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0.24</w:t>
            </w:r>
          </w:p>
        </w:tc>
        <w:tc>
          <w:tcPr>
            <w:tcW w:w="1220" w:type="dxa"/>
            <w:tcBorders>
              <w:top w:val="single" w:sz="4" w:space="0" w:color="8EA9DB"/>
              <w:left w:val="nil"/>
              <w:bottom w:val="single" w:sz="4" w:space="0" w:color="8EA9DB"/>
              <w:right w:val="nil"/>
            </w:tcBorders>
            <w:shd w:val="clear" w:color="D9E1F2" w:fill="D9E1F2"/>
            <w:noWrap/>
            <w:vAlign w:val="bottom"/>
            <w:hideMark/>
          </w:tcPr>
          <w:p w14:paraId="0C2779F7"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0.29</w:t>
            </w:r>
          </w:p>
        </w:tc>
        <w:tc>
          <w:tcPr>
            <w:tcW w:w="1220" w:type="dxa"/>
            <w:tcBorders>
              <w:top w:val="single" w:sz="4" w:space="0" w:color="8EA9DB"/>
              <w:left w:val="nil"/>
              <w:bottom w:val="single" w:sz="4" w:space="0" w:color="8EA9DB"/>
              <w:right w:val="nil"/>
            </w:tcBorders>
            <w:shd w:val="clear" w:color="D9E1F2" w:fill="D9E1F2"/>
            <w:noWrap/>
            <w:vAlign w:val="bottom"/>
            <w:hideMark/>
          </w:tcPr>
          <w:p w14:paraId="617EB8DE"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0.21</w:t>
            </w:r>
          </w:p>
        </w:tc>
        <w:tc>
          <w:tcPr>
            <w:tcW w:w="1221" w:type="dxa"/>
            <w:tcBorders>
              <w:top w:val="single" w:sz="4" w:space="0" w:color="8EA9DB"/>
              <w:left w:val="nil"/>
              <w:bottom w:val="single" w:sz="4" w:space="0" w:color="8EA9DB"/>
              <w:right w:val="single" w:sz="4" w:space="0" w:color="8EA9DB"/>
            </w:tcBorders>
            <w:shd w:val="clear" w:color="D9E1F2" w:fill="D9E1F2"/>
            <w:noWrap/>
            <w:vAlign w:val="bottom"/>
            <w:hideMark/>
          </w:tcPr>
          <w:p w14:paraId="55870912"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0.43</w:t>
            </w:r>
          </w:p>
        </w:tc>
      </w:tr>
      <w:tr w:rsidR="003F7E1E" w:rsidRPr="003A0A70" w14:paraId="21049E18" w14:textId="77777777" w:rsidTr="008D2EBD">
        <w:trPr>
          <w:trHeight w:val="432"/>
        </w:trPr>
        <w:tc>
          <w:tcPr>
            <w:tcW w:w="2160" w:type="dxa"/>
            <w:tcBorders>
              <w:top w:val="nil"/>
              <w:left w:val="nil"/>
              <w:bottom w:val="nil"/>
              <w:right w:val="nil"/>
            </w:tcBorders>
            <w:shd w:val="clear" w:color="000000" w:fill="0070C0"/>
            <w:noWrap/>
            <w:vAlign w:val="bottom"/>
            <w:hideMark/>
          </w:tcPr>
          <w:p w14:paraId="4D3FF2E7" w14:textId="77777777" w:rsidR="003F7E1E" w:rsidRPr="003A0A70" w:rsidRDefault="003F7E1E" w:rsidP="003F7E1E">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Financial leverage multiplier</w:t>
            </w:r>
          </w:p>
        </w:tc>
        <w:tc>
          <w:tcPr>
            <w:tcW w:w="1098" w:type="dxa"/>
            <w:tcBorders>
              <w:top w:val="single" w:sz="4" w:space="0" w:color="8EA9DB"/>
              <w:left w:val="single" w:sz="4" w:space="0" w:color="8EA9DB"/>
              <w:bottom w:val="single" w:sz="4" w:space="0" w:color="8EA9DB"/>
              <w:right w:val="nil"/>
            </w:tcBorders>
            <w:shd w:val="clear" w:color="auto" w:fill="auto"/>
            <w:noWrap/>
            <w:vAlign w:val="bottom"/>
            <w:hideMark/>
          </w:tcPr>
          <w:p w14:paraId="29566654"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1.68</w:t>
            </w:r>
          </w:p>
        </w:tc>
        <w:tc>
          <w:tcPr>
            <w:tcW w:w="1220" w:type="dxa"/>
            <w:tcBorders>
              <w:top w:val="single" w:sz="4" w:space="0" w:color="8EA9DB"/>
              <w:left w:val="nil"/>
              <w:bottom w:val="single" w:sz="4" w:space="0" w:color="8EA9DB"/>
              <w:right w:val="nil"/>
            </w:tcBorders>
            <w:shd w:val="clear" w:color="auto" w:fill="auto"/>
            <w:noWrap/>
            <w:vAlign w:val="bottom"/>
            <w:hideMark/>
          </w:tcPr>
          <w:p w14:paraId="72A07942"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1.87</w:t>
            </w:r>
          </w:p>
        </w:tc>
        <w:tc>
          <w:tcPr>
            <w:tcW w:w="1221" w:type="dxa"/>
            <w:tcBorders>
              <w:top w:val="single" w:sz="4" w:space="0" w:color="8EA9DB"/>
              <w:left w:val="nil"/>
              <w:bottom w:val="single" w:sz="4" w:space="0" w:color="8EA9DB"/>
              <w:right w:val="nil"/>
            </w:tcBorders>
            <w:shd w:val="clear" w:color="auto" w:fill="auto"/>
            <w:noWrap/>
            <w:vAlign w:val="bottom"/>
            <w:hideMark/>
          </w:tcPr>
          <w:p w14:paraId="1158C387"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1.90</w:t>
            </w:r>
          </w:p>
        </w:tc>
        <w:tc>
          <w:tcPr>
            <w:tcW w:w="1220" w:type="dxa"/>
            <w:tcBorders>
              <w:top w:val="single" w:sz="4" w:space="0" w:color="8EA9DB"/>
              <w:left w:val="nil"/>
              <w:bottom w:val="single" w:sz="4" w:space="0" w:color="8EA9DB"/>
              <w:right w:val="nil"/>
            </w:tcBorders>
            <w:shd w:val="clear" w:color="auto" w:fill="auto"/>
            <w:noWrap/>
            <w:vAlign w:val="bottom"/>
            <w:hideMark/>
          </w:tcPr>
          <w:p w14:paraId="1551D0E9"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2.08</w:t>
            </w:r>
          </w:p>
        </w:tc>
        <w:tc>
          <w:tcPr>
            <w:tcW w:w="1220" w:type="dxa"/>
            <w:tcBorders>
              <w:top w:val="single" w:sz="4" w:space="0" w:color="8EA9DB"/>
              <w:left w:val="nil"/>
              <w:bottom w:val="single" w:sz="4" w:space="0" w:color="8EA9DB"/>
              <w:right w:val="nil"/>
            </w:tcBorders>
            <w:shd w:val="clear" w:color="auto" w:fill="auto"/>
            <w:noWrap/>
            <w:vAlign w:val="bottom"/>
            <w:hideMark/>
          </w:tcPr>
          <w:p w14:paraId="7EC83D54"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2.02</w:t>
            </w:r>
          </w:p>
        </w:tc>
        <w:tc>
          <w:tcPr>
            <w:tcW w:w="1221" w:type="dxa"/>
            <w:tcBorders>
              <w:top w:val="single" w:sz="4" w:space="0" w:color="8EA9DB"/>
              <w:left w:val="nil"/>
              <w:bottom w:val="single" w:sz="4" w:space="0" w:color="8EA9DB"/>
              <w:right w:val="single" w:sz="4" w:space="0" w:color="8EA9DB"/>
            </w:tcBorders>
            <w:shd w:val="clear" w:color="auto" w:fill="auto"/>
            <w:noWrap/>
            <w:vAlign w:val="bottom"/>
            <w:hideMark/>
          </w:tcPr>
          <w:p w14:paraId="62E5B2AE" w14:textId="77777777" w:rsidR="003F7E1E" w:rsidRPr="003A0A70" w:rsidRDefault="003F7E1E" w:rsidP="003F7E1E">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2.21</w:t>
            </w:r>
          </w:p>
        </w:tc>
      </w:tr>
    </w:tbl>
    <w:p w14:paraId="7CAA670B" w14:textId="77777777" w:rsidR="004B569D" w:rsidRPr="003A0A70" w:rsidRDefault="004B569D" w:rsidP="006950A6">
      <w:pPr>
        <w:rPr>
          <w:rFonts w:ascii="Times New Roman" w:hAnsi="Times New Roman" w:cs="Times New Roman"/>
          <w:color w:val="000000" w:themeColor="text1"/>
          <w:sz w:val="24"/>
          <w:szCs w:val="24"/>
        </w:rPr>
      </w:pPr>
    </w:p>
    <w:tbl>
      <w:tblPr>
        <w:tblW w:w="9360" w:type="dxa"/>
        <w:tblLayout w:type="fixed"/>
        <w:tblLook w:val="04A0" w:firstRow="1" w:lastRow="0" w:firstColumn="1" w:lastColumn="0" w:noHBand="0" w:noVBand="1"/>
      </w:tblPr>
      <w:tblGrid>
        <w:gridCol w:w="2160"/>
        <w:gridCol w:w="1096"/>
        <w:gridCol w:w="1221"/>
        <w:gridCol w:w="1221"/>
        <w:gridCol w:w="1220"/>
        <w:gridCol w:w="1221"/>
        <w:gridCol w:w="1221"/>
      </w:tblGrid>
      <w:tr w:rsidR="000025F1" w:rsidRPr="003A0A70" w14:paraId="6302C9EA" w14:textId="77777777" w:rsidTr="008D2EBD">
        <w:trPr>
          <w:trHeight w:val="378"/>
        </w:trPr>
        <w:tc>
          <w:tcPr>
            <w:tcW w:w="9360" w:type="dxa"/>
            <w:gridSpan w:val="7"/>
            <w:tcBorders>
              <w:top w:val="nil"/>
              <w:left w:val="nil"/>
              <w:bottom w:val="nil"/>
              <w:right w:val="nil"/>
            </w:tcBorders>
            <w:shd w:val="clear" w:color="000000" w:fill="8EA9DB"/>
            <w:noWrap/>
            <w:vAlign w:val="bottom"/>
            <w:hideMark/>
          </w:tcPr>
          <w:p w14:paraId="1781A0CE" w14:textId="77777777" w:rsidR="000025F1" w:rsidRPr="003A0A70" w:rsidRDefault="000025F1" w:rsidP="003F7E1E">
            <w:pPr>
              <w:spacing w:after="0" w:line="240" w:lineRule="auto"/>
              <w:jc w:val="center"/>
              <w:rPr>
                <w:rFonts w:ascii="Times New Roman" w:eastAsia="Times New Roman" w:hAnsi="Times New Roman" w:cs="Times New Roman"/>
                <w:b/>
                <w:bCs/>
                <w:color w:val="44546A"/>
                <w:sz w:val="24"/>
                <w:szCs w:val="24"/>
              </w:rPr>
            </w:pPr>
            <w:r w:rsidRPr="003A0A70">
              <w:rPr>
                <w:rFonts w:ascii="Times New Roman" w:eastAsia="Times New Roman" w:hAnsi="Times New Roman" w:cs="Times New Roman"/>
                <w:b/>
                <w:bCs/>
                <w:color w:val="44546A"/>
                <w:sz w:val="24"/>
                <w:szCs w:val="24"/>
              </w:rPr>
              <w:t xml:space="preserve">Activision Blizzard - </w:t>
            </w:r>
            <w:r w:rsidR="003F7E1E" w:rsidRPr="003A0A70">
              <w:rPr>
                <w:rFonts w:ascii="Times New Roman" w:eastAsia="Times New Roman" w:hAnsi="Times New Roman" w:cs="Times New Roman"/>
                <w:b/>
                <w:bCs/>
                <w:color w:val="44546A"/>
                <w:sz w:val="24"/>
                <w:szCs w:val="24"/>
              </w:rPr>
              <w:t>Debt</w:t>
            </w:r>
            <w:r w:rsidRPr="003A0A70">
              <w:rPr>
                <w:rFonts w:ascii="Times New Roman" w:eastAsia="Times New Roman" w:hAnsi="Times New Roman" w:cs="Times New Roman"/>
                <w:b/>
                <w:bCs/>
                <w:color w:val="44546A"/>
                <w:sz w:val="24"/>
                <w:szCs w:val="24"/>
              </w:rPr>
              <w:t xml:space="preserve"> Ratios</w:t>
            </w:r>
          </w:p>
        </w:tc>
      </w:tr>
      <w:tr w:rsidR="000025F1" w:rsidRPr="003A0A70" w14:paraId="214F2B0E" w14:textId="77777777" w:rsidTr="00BD7C04">
        <w:trPr>
          <w:trHeight w:val="300"/>
        </w:trPr>
        <w:tc>
          <w:tcPr>
            <w:tcW w:w="2160" w:type="dxa"/>
            <w:tcBorders>
              <w:top w:val="nil"/>
              <w:left w:val="nil"/>
              <w:bottom w:val="nil"/>
              <w:right w:val="nil"/>
            </w:tcBorders>
            <w:shd w:val="clear" w:color="000000" w:fill="4472C4"/>
            <w:noWrap/>
            <w:vAlign w:val="bottom"/>
            <w:hideMark/>
          </w:tcPr>
          <w:p w14:paraId="7D08EFFE" w14:textId="77777777" w:rsidR="000025F1" w:rsidRPr="003A0A70" w:rsidRDefault="000025F1" w:rsidP="000025F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 xml:space="preserve"> </w:t>
            </w:r>
          </w:p>
        </w:tc>
        <w:tc>
          <w:tcPr>
            <w:tcW w:w="1096" w:type="dxa"/>
            <w:tcBorders>
              <w:top w:val="single" w:sz="4" w:space="0" w:color="8EA9DB"/>
              <w:left w:val="single" w:sz="4" w:space="0" w:color="8EA9DB"/>
              <w:bottom w:val="single" w:sz="4" w:space="0" w:color="8EA9DB"/>
              <w:right w:val="nil"/>
            </w:tcBorders>
            <w:shd w:val="clear" w:color="4472C4" w:fill="4472C4"/>
            <w:noWrap/>
            <w:vAlign w:val="bottom"/>
            <w:hideMark/>
          </w:tcPr>
          <w:p w14:paraId="5AEBE93E" w14:textId="77777777" w:rsidR="000025F1" w:rsidRPr="003A0A70" w:rsidRDefault="000025F1" w:rsidP="000025F1">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2019</w:t>
            </w:r>
          </w:p>
        </w:tc>
        <w:tc>
          <w:tcPr>
            <w:tcW w:w="1221" w:type="dxa"/>
            <w:tcBorders>
              <w:top w:val="single" w:sz="4" w:space="0" w:color="8EA9DB"/>
              <w:left w:val="nil"/>
              <w:bottom w:val="single" w:sz="4" w:space="0" w:color="8EA9DB"/>
              <w:right w:val="nil"/>
            </w:tcBorders>
            <w:shd w:val="clear" w:color="4472C4" w:fill="4472C4"/>
            <w:noWrap/>
            <w:vAlign w:val="bottom"/>
            <w:hideMark/>
          </w:tcPr>
          <w:p w14:paraId="275FE709" w14:textId="77777777" w:rsidR="000025F1" w:rsidRPr="003A0A70" w:rsidRDefault="000025F1" w:rsidP="000025F1">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2018</w:t>
            </w:r>
          </w:p>
        </w:tc>
        <w:tc>
          <w:tcPr>
            <w:tcW w:w="1221" w:type="dxa"/>
            <w:tcBorders>
              <w:top w:val="single" w:sz="4" w:space="0" w:color="8EA9DB"/>
              <w:left w:val="nil"/>
              <w:bottom w:val="single" w:sz="4" w:space="0" w:color="8EA9DB"/>
              <w:right w:val="nil"/>
            </w:tcBorders>
            <w:shd w:val="clear" w:color="4472C4" w:fill="4472C4"/>
            <w:noWrap/>
            <w:vAlign w:val="bottom"/>
            <w:hideMark/>
          </w:tcPr>
          <w:p w14:paraId="252F133F" w14:textId="77777777" w:rsidR="000025F1" w:rsidRPr="003A0A70" w:rsidRDefault="000025F1" w:rsidP="000025F1">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2017</w:t>
            </w:r>
          </w:p>
        </w:tc>
        <w:tc>
          <w:tcPr>
            <w:tcW w:w="1220" w:type="dxa"/>
            <w:tcBorders>
              <w:top w:val="single" w:sz="4" w:space="0" w:color="8EA9DB"/>
              <w:left w:val="nil"/>
              <w:bottom w:val="single" w:sz="4" w:space="0" w:color="8EA9DB"/>
              <w:right w:val="nil"/>
            </w:tcBorders>
            <w:shd w:val="clear" w:color="4472C4" w:fill="4472C4"/>
            <w:noWrap/>
            <w:vAlign w:val="bottom"/>
            <w:hideMark/>
          </w:tcPr>
          <w:p w14:paraId="1A021C99" w14:textId="77777777" w:rsidR="000025F1" w:rsidRPr="003A0A70" w:rsidRDefault="000025F1" w:rsidP="000025F1">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2016</w:t>
            </w:r>
          </w:p>
        </w:tc>
        <w:tc>
          <w:tcPr>
            <w:tcW w:w="1221" w:type="dxa"/>
            <w:tcBorders>
              <w:top w:val="single" w:sz="4" w:space="0" w:color="8EA9DB"/>
              <w:left w:val="nil"/>
              <w:bottom w:val="single" w:sz="4" w:space="0" w:color="8EA9DB"/>
              <w:right w:val="nil"/>
            </w:tcBorders>
            <w:shd w:val="clear" w:color="4472C4" w:fill="4472C4"/>
            <w:noWrap/>
            <w:vAlign w:val="bottom"/>
            <w:hideMark/>
          </w:tcPr>
          <w:p w14:paraId="5E0FE2B6" w14:textId="77777777" w:rsidR="000025F1" w:rsidRPr="003A0A70" w:rsidRDefault="000025F1" w:rsidP="000025F1">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2015</w:t>
            </w:r>
          </w:p>
        </w:tc>
        <w:tc>
          <w:tcPr>
            <w:tcW w:w="1221" w:type="dxa"/>
            <w:tcBorders>
              <w:top w:val="single" w:sz="4" w:space="0" w:color="8EA9DB"/>
              <w:left w:val="nil"/>
              <w:bottom w:val="single" w:sz="4" w:space="0" w:color="8EA9DB"/>
              <w:right w:val="single" w:sz="4" w:space="0" w:color="8EA9DB"/>
            </w:tcBorders>
            <w:shd w:val="clear" w:color="4472C4" w:fill="4472C4"/>
            <w:noWrap/>
            <w:vAlign w:val="bottom"/>
            <w:hideMark/>
          </w:tcPr>
          <w:p w14:paraId="227944BF" w14:textId="77777777" w:rsidR="000025F1" w:rsidRPr="003A0A70" w:rsidRDefault="000025F1" w:rsidP="000025F1">
            <w:pPr>
              <w:spacing w:after="0" w:line="240" w:lineRule="auto"/>
              <w:jc w:val="center"/>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Industry Average</w:t>
            </w:r>
          </w:p>
        </w:tc>
      </w:tr>
      <w:tr w:rsidR="000025F1" w:rsidRPr="003A0A70" w14:paraId="323BBE2C" w14:textId="77777777" w:rsidTr="008D2EBD">
        <w:trPr>
          <w:trHeight w:val="432"/>
        </w:trPr>
        <w:tc>
          <w:tcPr>
            <w:tcW w:w="2160" w:type="dxa"/>
            <w:tcBorders>
              <w:top w:val="nil"/>
              <w:left w:val="nil"/>
              <w:bottom w:val="nil"/>
              <w:right w:val="nil"/>
            </w:tcBorders>
            <w:shd w:val="clear" w:color="000000" w:fill="0070C0"/>
            <w:noWrap/>
            <w:vAlign w:val="bottom"/>
            <w:hideMark/>
          </w:tcPr>
          <w:p w14:paraId="75337F7D" w14:textId="77777777" w:rsidR="000025F1" w:rsidRPr="003A0A70" w:rsidRDefault="000025F1" w:rsidP="000025F1">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Debt Ratio</w:t>
            </w:r>
          </w:p>
        </w:tc>
        <w:tc>
          <w:tcPr>
            <w:tcW w:w="1096" w:type="dxa"/>
            <w:tcBorders>
              <w:top w:val="single" w:sz="4" w:space="0" w:color="8EA9DB"/>
              <w:left w:val="single" w:sz="4" w:space="0" w:color="8EA9DB"/>
              <w:bottom w:val="single" w:sz="4" w:space="0" w:color="8EA9DB"/>
              <w:right w:val="nil"/>
            </w:tcBorders>
            <w:shd w:val="clear" w:color="D9E1F2" w:fill="D9E1F2"/>
            <w:noWrap/>
            <w:vAlign w:val="bottom"/>
            <w:hideMark/>
          </w:tcPr>
          <w:p w14:paraId="53AEE295"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35.47%</w:t>
            </w:r>
          </w:p>
        </w:tc>
        <w:tc>
          <w:tcPr>
            <w:tcW w:w="1221" w:type="dxa"/>
            <w:tcBorders>
              <w:top w:val="single" w:sz="4" w:space="0" w:color="8EA9DB"/>
              <w:left w:val="nil"/>
              <w:bottom w:val="single" w:sz="4" w:space="0" w:color="8EA9DB"/>
              <w:right w:val="nil"/>
            </w:tcBorders>
            <w:shd w:val="clear" w:color="D9E1F2" w:fill="D9E1F2"/>
            <w:noWrap/>
            <w:vAlign w:val="bottom"/>
            <w:hideMark/>
          </w:tcPr>
          <w:p w14:paraId="773757DA"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36.32%</w:t>
            </w:r>
          </w:p>
        </w:tc>
        <w:tc>
          <w:tcPr>
            <w:tcW w:w="1221" w:type="dxa"/>
            <w:tcBorders>
              <w:top w:val="single" w:sz="4" w:space="0" w:color="8EA9DB"/>
              <w:left w:val="nil"/>
              <w:bottom w:val="single" w:sz="4" w:space="0" w:color="8EA9DB"/>
              <w:right w:val="nil"/>
            </w:tcBorders>
            <w:shd w:val="clear" w:color="D9E1F2" w:fill="D9E1F2"/>
            <w:noWrap/>
            <w:vAlign w:val="bottom"/>
            <w:hideMark/>
          </w:tcPr>
          <w:p w14:paraId="21322B5A"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49.31%</w:t>
            </w:r>
          </w:p>
        </w:tc>
        <w:tc>
          <w:tcPr>
            <w:tcW w:w="1220" w:type="dxa"/>
            <w:tcBorders>
              <w:top w:val="single" w:sz="4" w:space="0" w:color="8EA9DB"/>
              <w:left w:val="nil"/>
              <w:bottom w:val="single" w:sz="4" w:space="0" w:color="8EA9DB"/>
              <w:right w:val="nil"/>
            </w:tcBorders>
            <w:shd w:val="clear" w:color="D9E1F2" w:fill="D9E1F2"/>
            <w:noWrap/>
            <w:vAlign w:val="bottom"/>
            <w:hideMark/>
          </w:tcPr>
          <w:p w14:paraId="1CB5D791"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47.75%</w:t>
            </w:r>
          </w:p>
        </w:tc>
        <w:tc>
          <w:tcPr>
            <w:tcW w:w="1221" w:type="dxa"/>
            <w:tcBorders>
              <w:top w:val="single" w:sz="4" w:space="0" w:color="8EA9DB"/>
              <w:left w:val="nil"/>
              <w:bottom w:val="single" w:sz="4" w:space="0" w:color="8EA9DB"/>
              <w:right w:val="nil"/>
            </w:tcBorders>
            <w:shd w:val="clear" w:color="D9E1F2" w:fill="D9E1F2"/>
            <w:noWrap/>
            <w:vAlign w:val="bottom"/>
            <w:hideMark/>
          </w:tcPr>
          <w:p w14:paraId="071B8E2D"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47.10%</w:t>
            </w:r>
          </w:p>
        </w:tc>
        <w:tc>
          <w:tcPr>
            <w:tcW w:w="1221" w:type="dxa"/>
            <w:tcBorders>
              <w:top w:val="single" w:sz="4" w:space="0" w:color="8EA9DB"/>
              <w:left w:val="nil"/>
              <w:bottom w:val="single" w:sz="4" w:space="0" w:color="8EA9DB"/>
              <w:right w:val="single" w:sz="4" w:space="0" w:color="8EA9DB"/>
            </w:tcBorders>
            <w:shd w:val="clear" w:color="D9E1F2" w:fill="D9E1F2"/>
            <w:noWrap/>
            <w:vAlign w:val="bottom"/>
            <w:hideMark/>
          </w:tcPr>
          <w:p w14:paraId="472A062D"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p>
        </w:tc>
      </w:tr>
      <w:tr w:rsidR="000025F1" w:rsidRPr="003A0A70" w14:paraId="7CB6DC3E" w14:textId="77777777" w:rsidTr="008D2EBD">
        <w:trPr>
          <w:trHeight w:val="432"/>
        </w:trPr>
        <w:tc>
          <w:tcPr>
            <w:tcW w:w="2160" w:type="dxa"/>
            <w:tcBorders>
              <w:top w:val="nil"/>
              <w:left w:val="nil"/>
              <w:bottom w:val="nil"/>
              <w:right w:val="nil"/>
            </w:tcBorders>
            <w:shd w:val="clear" w:color="000000" w:fill="0070C0"/>
            <w:noWrap/>
            <w:vAlign w:val="bottom"/>
            <w:hideMark/>
          </w:tcPr>
          <w:p w14:paraId="38FB5EF3" w14:textId="77777777" w:rsidR="000025F1" w:rsidRPr="003A0A70" w:rsidRDefault="000025F1" w:rsidP="000025F1">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Times Interest Earned Ratio</w:t>
            </w:r>
          </w:p>
        </w:tc>
        <w:tc>
          <w:tcPr>
            <w:tcW w:w="1096" w:type="dxa"/>
            <w:tcBorders>
              <w:top w:val="single" w:sz="4" w:space="0" w:color="8EA9DB"/>
              <w:left w:val="single" w:sz="4" w:space="0" w:color="8EA9DB"/>
              <w:bottom w:val="single" w:sz="4" w:space="0" w:color="8EA9DB"/>
              <w:right w:val="nil"/>
            </w:tcBorders>
            <w:shd w:val="clear" w:color="auto" w:fill="auto"/>
            <w:noWrap/>
            <w:vAlign w:val="bottom"/>
            <w:hideMark/>
          </w:tcPr>
          <w:p w14:paraId="1E765643"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17.86</w:t>
            </w:r>
          </w:p>
        </w:tc>
        <w:tc>
          <w:tcPr>
            <w:tcW w:w="1221" w:type="dxa"/>
            <w:tcBorders>
              <w:top w:val="single" w:sz="4" w:space="0" w:color="8EA9DB"/>
              <w:left w:val="nil"/>
              <w:bottom w:val="single" w:sz="4" w:space="0" w:color="8EA9DB"/>
              <w:right w:val="nil"/>
            </w:tcBorders>
            <w:shd w:val="clear" w:color="auto" w:fill="auto"/>
            <w:noWrap/>
            <w:vAlign w:val="bottom"/>
            <w:hideMark/>
          </w:tcPr>
          <w:p w14:paraId="3CD814D8"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14.20</w:t>
            </w:r>
          </w:p>
        </w:tc>
        <w:tc>
          <w:tcPr>
            <w:tcW w:w="1221" w:type="dxa"/>
            <w:tcBorders>
              <w:top w:val="single" w:sz="4" w:space="0" w:color="8EA9DB"/>
              <w:left w:val="nil"/>
              <w:bottom w:val="single" w:sz="4" w:space="0" w:color="8EA9DB"/>
              <w:right w:val="nil"/>
            </w:tcBorders>
            <w:shd w:val="clear" w:color="auto" w:fill="auto"/>
            <w:noWrap/>
            <w:vAlign w:val="bottom"/>
            <w:hideMark/>
          </w:tcPr>
          <w:p w14:paraId="48A46767"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20" w:type="dxa"/>
            <w:tcBorders>
              <w:top w:val="single" w:sz="4" w:space="0" w:color="8EA9DB"/>
              <w:left w:val="nil"/>
              <w:bottom w:val="single" w:sz="4" w:space="0" w:color="8EA9DB"/>
              <w:right w:val="nil"/>
            </w:tcBorders>
            <w:shd w:val="clear" w:color="auto" w:fill="auto"/>
            <w:noWrap/>
            <w:vAlign w:val="bottom"/>
            <w:hideMark/>
          </w:tcPr>
          <w:p w14:paraId="661FB873"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21" w:type="dxa"/>
            <w:tcBorders>
              <w:top w:val="single" w:sz="4" w:space="0" w:color="8EA9DB"/>
              <w:left w:val="nil"/>
              <w:bottom w:val="single" w:sz="4" w:space="0" w:color="8EA9DB"/>
              <w:right w:val="nil"/>
            </w:tcBorders>
            <w:shd w:val="clear" w:color="auto" w:fill="auto"/>
            <w:noWrap/>
            <w:vAlign w:val="bottom"/>
            <w:hideMark/>
          </w:tcPr>
          <w:p w14:paraId="69F41267"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21" w:type="dxa"/>
            <w:tcBorders>
              <w:top w:val="single" w:sz="4" w:space="0" w:color="8EA9DB"/>
              <w:left w:val="nil"/>
              <w:bottom w:val="single" w:sz="4" w:space="0" w:color="8EA9DB"/>
              <w:right w:val="single" w:sz="4" w:space="0" w:color="8EA9DB"/>
            </w:tcBorders>
            <w:shd w:val="clear" w:color="auto" w:fill="auto"/>
            <w:noWrap/>
            <w:vAlign w:val="bottom"/>
            <w:hideMark/>
          </w:tcPr>
          <w:p w14:paraId="5372F892"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p>
        </w:tc>
      </w:tr>
      <w:tr w:rsidR="000025F1" w:rsidRPr="003A0A70" w14:paraId="0E9D30D1" w14:textId="77777777" w:rsidTr="008D2EBD">
        <w:trPr>
          <w:trHeight w:val="432"/>
        </w:trPr>
        <w:tc>
          <w:tcPr>
            <w:tcW w:w="2160" w:type="dxa"/>
            <w:tcBorders>
              <w:top w:val="nil"/>
              <w:left w:val="nil"/>
              <w:bottom w:val="nil"/>
              <w:right w:val="nil"/>
            </w:tcBorders>
            <w:shd w:val="clear" w:color="000000" w:fill="0070C0"/>
            <w:noWrap/>
            <w:vAlign w:val="bottom"/>
            <w:hideMark/>
          </w:tcPr>
          <w:p w14:paraId="0E2C233F" w14:textId="77777777" w:rsidR="000025F1" w:rsidRPr="003A0A70" w:rsidRDefault="000025F1" w:rsidP="000025F1">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Debt-To-Equity Ratio</w:t>
            </w:r>
          </w:p>
        </w:tc>
        <w:tc>
          <w:tcPr>
            <w:tcW w:w="1096" w:type="dxa"/>
            <w:tcBorders>
              <w:top w:val="single" w:sz="4" w:space="0" w:color="8EA9DB"/>
              <w:left w:val="single" w:sz="4" w:space="0" w:color="8EA9DB"/>
              <w:bottom w:val="single" w:sz="4" w:space="0" w:color="8EA9DB"/>
              <w:right w:val="nil"/>
            </w:tcBorders>
            <w:shd w:val="clear" w:color="D9E1F2" w:fill="D9E1F2"/>
            <w:noWrap/>
            <w:vAlign w:val="bottom"/>
            <w:hideMark/>
          </w:tcPr>
          <w:p w14:paraId="4E50F0F1"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0.21</w:t>
            </w:r>
          </w:p>
        </w:tc>
        <w:tc>
          <w:tcPr>
            <w:tcW w:w="1221" w:type="dxa"/>
            <w:tcBorders>
              <w:top w:val="single" w:sz="4" w:space="0" w:color="8EA9DB"/>
              <w:left w:val="nil"/>
              <w:bottom w:val="single" w:sz="4" w:space="0" w:color="8EA9DB"/>
              <w:right w:val="nil"/>
            </w:tcBorders>
            <w:shd w:val="clear" w:color="D9E1F2" w:fill="D9E1F2"/>
            <w:noWrap/>
            <w:vAlign w:val="bottom"/>
            <w:hideMark/>
          </w:tcPr>
          <w:p w14:paraId="12382B37"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0.24</w:t>
            </w:r>
          </w:p>
        </w:tc>
        <w:tc>
          <w:tcPr>
            <w:tcW w:w="1221" w:type="dxa"/>
            <w:tcBorders>
              <w:top w:val="single" w:sz="4" w:space="0" w:color="8EA9DB"/>
              <w:left w:val="nil"/>
              <w:bottom w:val="single" w:sz="4" w:space="0" w:color="8EA9DB"/>
              <w:right w:val="nil"/>
            </w:tcBorders>
            <w:shd w:val="clear" w:color="D9E1F2" w:fill="D9E1F2"/>
            <w:noWrap/>
            <w:vAlign w:val="bottom"/>
            <w:hideMark/>
          </w:tcPr>
          <w:p w14:paraId="0FDE9268"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0.47</w:t>
            </w:r>
          </w:p>
        </w:tc>
        <w:tc>
          <w:tcPr>
            <w:tcW w:w="1220" w:type="dxa"/>
            <w:tcBorders>
              <w:top w:val="single" w:sz="4" w:space="0" w:color="8EA9DB"/>
              <w:left w:val="nil"/>
              <w:bottom w:val="single" w:sz="4" w:space="0" w:color="8EA9DB"/>
              <w:right w:val="nil"/>
            </w:tcBorders>
            <w:shd w:val="clear" w:color="D9E1F2" w:fill="D9E1F2"/>
            <w:noWrap/>
            <w:vAlign w:val="bottom"/>
            <w:hideMark/>
          </w:tcPr>
          <w:p w14:paraId="68A366D0"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0.54</w:t>
            </w:r>
          </w:p>
        </w:tc>
        <w:tc>
          <w:tcPr>
            <w:tcW w:w="1221" w:type="dxa"/>
            <w:tcBorders>
              <w:top w:val="single" w:sz="4" w:space="0" w:color="8EA9DB"/>
              <w:left w:val="nil"/>
              <w:bottom w:val="single" w:sz="4" w:space="0" w:color="8EA9DB"/>
              <w:right w:val="nil"/>
            </w:tcBorders>
            <w:shd w:val="clear" w:color="D9E1F2" w:fill="D9E1F2"/>
            <w:noWrap/>
            <w:vAlign w:val="bottom"/>
            <w:hideMark/>
          </w:tcPr>
          <w:p w14:paraId="5FAC1AE5"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0.51</w:t>
            </w:r>
          </w:p>
        </w:tc>
        <w:tc>
          <w:tcPr>
            <w:tcW w:w="1221" w:type="dxa"/>
            <w:tcBorders>
              <w:top w:val="single" w:sz="4" w:space="0" w:color="8EA9DB"/>
              <w:left w:val="nil"/>
              <w:bottom w:val="single" w:sz="4" w:space="0" w:color="8EA9DB"/>
              <w:right w:val="single" w:sz="4" w:space="0" w:color="8EA9DB"/>
            </w:tcBorders>
            <w:shd w:val="clear" w:color="D9E1F2" w:fill="D9E1F2"/>
            <w:noWrap/>
            <w:vAlign w:val="bottom"/>
            <w:hideMark/>
          </w:tcPr>
          <w:p w14:paraId="68909B28"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0.43</w:t>
            </w:r>
          </w:p>
        </w:tc>
      </w:tr>
      <w:tr w:rsidR="000025F1" w:rsidRPr="003A0A70" w14:paraId="6A2519E6" w14:textId="77777777" w:rsidTr="008D2EBD">
        <w:trPr>
          <w:trHeight w:val="432"/>
        </w:trPr>
        <w:tc>
          <w:tcPr>
            <w:tcW w:w="2160" w:type="dxa"/>
            <w:tcBorders>
              <w:top w:val="nil"/>
              <w:left w:val="nil"/>
              <w:bottom w:val="nil"/>
              <w:right w:val="nil"/>
            </w:tcBorders>
            <w:shd w:val="clear" w:color="000000" w:fill="0070C0"/>
            <w:noWrap/>
            <w:vAlign w:val="bottom"/>
            <w:hideMark/>
          </w:tcPr>
          <w:p w14:paraId="3F6668E4" w14:textId="77777777" w:rsidR="000025F1" w:rsidRPr="003A0A70" w:rsidRDefault="000025F1" w:rsidP="000025F1">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Financial leverage multiplier</w:t>
            </w:r>
          </w:p>
        </w:tc>
        <w:tc>
          <w:tcPr>
            <w:tcW w:w="1096" w:type="dxa"/>
            <w:tcBorders>
              <w:top w:val="single" w:sz="4" w:space="0" w:color="8EA9DB"/>
              <w:left w:val="single" w:sz="4" w:space="0" w:color="8EA9DB"/>
              <w:bottom w:val="single" w:sz="4" w:space="0" w:color="8EA9DB"/>
              <w:right w:val="nil"/>
            </w:tcBorders>
            <w:shd w:val="clear" w:color="auto" w:fill="auto"/>
            <w:noWrap/>
            <w:vAlign w:val="bottom"/>
            <w:hideMark/>
          </w:tcPr>
          <w:p w14:paraId="56D2B7B0"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1.55</w:t>
            </w:r>
          </w:p>
        </w:tc>
        <w:tc>
          <w:tcPr>
            <w:tcW w:w="1221" w:type="dxa"/>
            <w:tcBorders>
              <w:top w:val="single" w:sz="4" w:space="0" w:color="8EA9DB"/>
              <w:left w:val="nil"/>
              <w:bottom w:val="single" w:sz="4" w:space="0" w:color="8EA9DB"/>
              <w:right w:val="nil"/>
            </w:tcBorders>
            <w:shd w:val="clear" w:color="auto" w:fill="auto"/>
            <w:noWrap/>
            <w:vAlign w:val="bottom"/>
            <w:hideMark/>
          </w:tcPr>
          <w:p w14:paraId="6CDDB200"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1.57</w:t>
            </w:r>
          </w:p>
        </w:tc>
        <w:tc>
          <w:tcPr>
            <w:tcW w:w="1221" w:type="dxa"/>
            <w:tcBorders>
              <w:top w:val="single" w:sz="4" w:space="0" w:color="8EA9DB"/>
              <w:left w:val="nil"/>
              <w:bottom w:val="single" w:sz="4" w:space="0" w:color="8EA9DB"/>
              <w:right w:val="nil"/>
            </w:tcBorders>
            <w:shd w:val="clear" w:color="auto" w:fill="auto"/>
            <w:noWrap/>
            <w:vAlign w:val="bottom"/>
            <w:hideMark/>
          </w:tcPr>
          <w:p w14:paraId="1002ACC1"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1.97</w:t>
            </w:r>
          </w:p>
        </w:tc>
        <w:tc>
          <w:tcPr>
            <w:tcW w:w="1220" w:type="dxa"/>
            <w:tcBorders>
              <w:top w:val="single" w:sz="4" w:space="0" w:color="8EA9DB"/>
              <w:left w:val="nil"/>
              <w:bottom w:val="single" w:sz="4" w:space="0" w:color="8EA9DB"/>
              <w:right w:val="nil"/>
            </w:tcBorders>
            <w:shd w:val="clear" w:color="auto" w:fill="auto"/>
            <w:noWrap/>
            <w:vAlign w:val="bottom"/>
            <w:hideMark/>
          </w:tcPr>
          <w:p w14:paraId="51AA1A3D"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1.91</w:t>
            </w:r>
          </w:p>
        </w:tc>
        <w:tc>
          <w:tcPr>
            <w:tcW w:w="1221" w:type="dxa"/>
            <w:tcBorders>
              <w:top w:val="single" w:sz="4" w:space="0" w:color="8EA9DB"/>
              <w:left w:val="nil"/>
              <w:bottom w:val="single" w:sz="4" w:space="0" w:color="8EA9DB"/>
              <w:right w:val="nil"/>
            </w:tcBorders>
            <w:shd w:val="clear" w:color="auto" w:fill="auto"/>
            <w:noWrap/>
            <w:vAlign w:val="bottom"/>
            <w:hideMark/>
          </w:tcPr>
          <w:p w14:paraId="05BD83DC"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1.89</w:t>
            </w:r>
          </w:p>
        </w:tc>
        <w:tc>
          <w:tcPr>
            <w:tcW w:w="1221" w:type="dxa"/>
            <w:tcBorders>
              <w:top w:val="single" w:sz="4" w:space="0" w:color="8EA9DB"/>
              <w:left w:val="nil"/>
              <w:bottom w:val="single" w:sz="4" w:space="0" w:color="8EA9DB"/>
              <w:right w:val="single" w:sz="4" w:space="0" w:color="8EA9DB"/>
            </w:tcBorders>
            <w:shd w:val="clear" w:color="auto" w:fill="auto"/>
            <w:noWrap/>
            <w:vAlign w:val="bottom"/>
            <w:hideMark/>
          </w:tcPr>
          <w:p w14:paraId="52783F66" w14:textId="77777777" w:rsidR="000025F1" w:rsidRPr="003A0A70" w:rsidRDefault="000025F1" w:rsidP="000025F1">
            <w:pPr>
              <w:spacing w:after="0" w:line="240" w:lineRule="auto"/>
              <w:jc w:val="center"/>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2.21</w:t>
            </w:r>
          </w:p>
        </w:tc>
      </w:tr>
    </w:tbl>
    <w:p w14:paraId="2C5F7156" w14:textId="77777777" w:rsidR="00817F57" w:rsidRPr="003A0A70" w:rsidRDefault="00817F57" w:rsidP="00817F57">
      <w:pPr>
        <w:ind w:firstLine="720"/>
        <w:rPr>
          <w:rFonts w:ascii="Times New Roman" w:hAnsi="Times New Roman" w:cs="Times New Roman"/>
          <w:color w:val="000000" w:themeColor="text1"/>
          <w:sz w:val="24"/>
          <w:szCs w:val="24"/>
        </w:rPr>
      </w:pPr>
    </w:p>
    <w:p w14:paraId="67A6C7FB" w14:textId="725449D4" w:rsidR="0044141B" w:rsidRPr="00BD7C04" w:rsidRDefault="0044141B" w:rsidP="00BD7C04">
      <w:pPr>
        <w:spacing w:line="480" w:lineRule="auto"/>
        <w:ind w:firstLine="720"/>
        <w:contextualSpacing/>
        <w:rPr>
          <w:rFonts w:ascii="Times New Roman" w:hAnsi="Times New Roman" w:cs="Times New Roman"/>
          <w:b/>
          <w:bCs/>
          <w:i/>
          <w:iCs/>
          <w:color w:val="212529"/>
          <w:sz w:val="24"/>
          <w:szCs w:val="24"/>
          <w:shd w:val="clear" w:color="auto" w:fill="FFFFFF"/>
        </w:rPr>
      </w:pPr>
      <w:r w:rsidRPr="00C8605A">
        <w:rPr>
          <w:rFonts w:ascii="Times New Roman" w:hAnsi="Times New Roman" w:cs="Times New Roman"/>
          <w:b/>
          <w:bCs/>
          <w:color w:val="212529"/>
          <w:sz w:val="24"/>
          <w:szCs w:val="24"/>
          <w:shd w:val="clear" w:color="auto" w:fill="FFFFFF"/>
        </w:rPr>
        <w:t>Trend</w:t>
      </w:r>
      <w:r w:rsidRPr="004B569D">
        <w:rPr>
          <w:rFonts w:ascii="Times New Roman" w:hAnsi="Times New Roman" w:cs="Times New Roman"/>
          <w:b/>
          <w:bCs/>
          <w:i/>
          <w:iCs/>
          <w:color w:val="212529"/>
          <w:sz w:val="24"/>
          <w:szCs w:val="24"/>
          <w:shd w:val="clear" w:color="auto" w:fill="FFFFFF"/>
        </w:rPr>
        <w:t xml:space="preserve"> </w:t>
      </w:r>
      <w:r w:rsidRPr="00C8605A">
        <w:rPr>
          <w:rFonts w:ascii="Times New Roman" w:hAnsi="Times New Roman" w:cs="Times New Roman"/>
          <w:b/>
          <w:bCs/>
          <w:color w:val="212529"/>
          <w:sz w:val="24"/>
          <w:szCs w:val="24"/>
          <w:shd w:val="clear" w:color="auto" w:fill="FFFFFF"/>
        </w:rPr>
        <w:t>Analysis</w:t>
      </w:r>
      <w:r w:rsidR="00BD7C04">
        <w:rPr>
          <w:rFonts w:ascii="Times New Roman" w:hAnsi="Times New Roman" w:cs="Times New Roman"/>
          <w:b/>
          <w:bCs/>
          <w:color w:val="212529"/>
          <w:sz w:val="24"/>
          <w:szCs w:val="24"/>
          <w:shd w:val="clear" w:color="auto" w:fill="FFFFFF"/>
        </w:rPr>
        <w:t>.</w:t>
      </w:r>
      <w:r w:rsidRPr="004B569D">
        <w:rPr>
          <w:rFonts w:ascii="Times New Roman" w:hAnsi="Times New Roman" w:cs="Times New Roman"/>
          <w:b/>
          <w:bCs/>
          <w:i/>
          <w:iCs/>
          <w:color w:val="212529"/>
          <w:sz w:val="24"/>
          <w:szCs w:val="24"/>
          <w:shd w:val="clear" w:color="auto" w:fill="FFFFFF"/>
        </w:rPr>
        <w:t xml:space="preserve"> </w:t>
      </w:r>
      <w:r w:rsidRPr="003A0A70">
        <w:rPr>
          <w:rFonts w:ascii="Times New Roman" w:hAnsi="Times New Roman" w:cs="Times New Roman"/>
          <w:color w:val="212529"/>
          <w:sz w:val="24"/>
          <w:szCs w:val="24"/>
          <w:shd w:val="clear" w:color="auto" w:fill="FFFFFF"/>
        </w:rPr>
        <w:t>Electronic Arts</w:t>
      </w:r>
      <w:r w:rsidR="002A7BF3">
        <w:rPr>
          <w:rFonts w:ascii="Times New Roman" w:hAnsi="Times New Roman" w:cs="Times New Roman"/>
          <w:color w:val="212529"/>
          <w:sz w:val="24"/>
          <w:szCs w:val="24"/>
          <w:shd w:val="clear" w:color="auto" w:fill="FFFFFF"/>
        </w:rPr>
        <w:t>’</w:t>
      </w:r>
      <w:r w:rsidRPr="003A0A70">
        <w:rPr>
          <w:rFonts w:ascii="Times New Roman" w:hAnsi="Times New Roman" w:cs="Times New Roman"/>
          <w:color w:val="212529"/>
          <w:sz w:val="24"/>
          <w:szCs w:val="24"/>
          <w:shd w:val="clear" w:color="auto" w:fill="FFFFFF"/>
        </w:rPr>
        <w:t xml:space="preserve"> debt ratio has decreased over the last five years as well as their times interest earned ratio, debt to equity ratio</w:t>
      </w:r>
      <w:r w:rsidR="002A7BF3">
        <w:rPr>
          <w:rFonts w:ascii="Times New Roman" w:hAnsi="Times New Roman" w:cs="Times New Roman"/>
          <w:color w:val="212529"/>
          <w:sz w:val="24"/>
          <w:szCs w:val="24"/>
          <w:shd w:val="clear" w:color="auto" w:fill="FFFFFF"/>
        </w:rPr>
        <w:t>,</w:t>
      </w:r>
      <w:r w:rsidRPr="003A0A70">
        <w:rPr>
          <w:rFonts w:ascii="Times New Roman" w:hAnsi="Times New Roman" w:cs="Times New Roman"/>
          <w:color w:val="212529"/>
          <w:sz w:val="24"/>
          <w:szCs w:val="24"/>
          <w:shd w:val="clear" w:color="auto" w:fill="FFFFFF"/>
        </w:rPr>
        <w:t xml:space="preserve"> and financial leverage multiplier. This means that the firm’s ability to pay its annual interest charges with their operating income has decreased. Also, the firm’s debt to equity ratio </w:t>
      </w:r>
      <w:r w:rsidR="002A7BF3">
        <w:rPr>
          <w:rFonts w:ascii="Times New Roman" w:hAnsi="Times New Roman" w:cs="Times New Roman"/>
          <w:color w:val="212529"/>
          <w:sz w:val="24"/>
          <w:szCs w:val="24"/>
          <w:shd w:val="clear" w:color="auto" w:fill="FFFFFF"/>
        </w:rPr>
        <w:t>is more than</w:t>
      </w:r>
      <w:r w:rsidRPr="003A0A70">
        <w:rPr>
          <w:rFonts w:ascii="Times New Roman" w:hAnsi="Times New Roman" w:cs="Times New Roman"/>
          <w:color w:val="212529"/>
          <w:sz w:val="24"/>
          <w:szCs w:val="24"/>
          <w:shd w:val="clear" w:color="auto" w:fill="FFFFFF"/>
        </w:rPr>
        <w:t xml:space="preserve"> 50% lower than the industry average which indicates that the firm is not taking advantage of the increased profits that financing </w:t>
      </w:r>
      <w:r w:rsidR="002A7BF3">
        <w:rPr>
          <w:rFonts w:ascii="Times New Roman" w:hAnsi="Times New Roman" w:cs="Times New Roman"/>
          <w:color w:val="212529"/>
          <w:sz w:val="24"/>
          <w:szCs w:val="24"/>
          <w:shd w:val="clear" w:color="auto" w:fill="FFFFFF"/>
        </w:rPr>
        <w:t>with leverage may bring. However, by not financing with leverage, the company is avoiding more risk which creditors and bank try to avoid.</w:t>
      </w:r>
    </w:p>
    <w:p w14:paraId="784016F3" w14:textId="32404296" w:rsidR="0044141B" w:rsidRPr="003A0A70" w:rsidRDefault="0044141B" w:rsidP="0047120B">
      <w:pPr>
        <w:spacing w:line="480" w:lineRule="auto"/>
        <w:ind w:firstLine="720"/>
        <w:contextualSpacing/>
        <w:rPr>
          <w:rFonts w:ascii="Times New Roman" w:hAnsi="Times New Roman" w:cs="Times New Roman"/>
          <w:color w:val="212529"/>
          <w:sz w:val="24"/>
          <w:szCs w:val="24"/>
          <w:shd w:val="clear" w:color="auto" w:fill="FFFFFF"/>
        </w:rPr>
      </w:pPr>
      <w:r w:rsidRPr="003A0A70">
        <w:rPr>
          <w:rFonts w:ascii="Times New Roman" w:hAnsi="Times New Roman" w:cs="Times New Roman"/>
          <w:color w:val="212529"/>
          <w:sz w:val="24"/>
          <w:szCs w:val="24"/>
          <w:shd w:val="clear" w:color="auto" w:fill="FFFFFF"/>
        </w:rPr>
        <w:t>Activision Blizzard has seen its debt ratio fall over the past five years as well as its debt to equity ratio and financial leverage multiplier</w:t>
      </w:r>
      <w:r w:rsidR="006647FA">
        <w:rPr>
          <w:rFonts w:ascii="Times New Roman" w:hAnsi="Times New Roman" w:cs="Times New Roman"/>
          <w:color w:val="212529"/>
          <w:sz w:val="24"/>
          <w:szCs w:val="24"/>
          <w:shd w:val="clear" w:color="auto" w:fill="FFFFFF"/>
        </w:rPr>
        <w:t>, w</w:t>
      </w:r>
      <w:r w:rsidRPr="003A0A70">
        <w:rPr>
          <w:rFonts w:ascii="Times New Roman" w:hAnsi="Times New Roman" w:cs="Times New Roman"/>
          <w:color w:val="212529"/>
          <w:sz w:val="24"/>
          <w:szCs w:val="24"/>
          <w:shd w:val="clear" w:color="auto" w:fill="FFFFFF"/>
        </w:rPr>
        <w:t xml:space="preserve">hile their interest expense has increased. A fall in Activision Blizzard’s debt to equity ratio indicates that the firm is not taking advantage of its increased profits that financing leverage may bring. </w:t>
      </w:r>
      <w:r w:rsidR="002A7BF3">
        <w:rPr>
          <w:rFonts w:ascii="Times New Roman" w:hAnsi="Times New Roman" w:cs="Times New Roman"/>
          <w:color w:val="212529"/>
          <w:sz w:val="24"/>
          <w:szCs w:val="24"/>
          <w:shd w:val="clear" w:color="auto" w:fill="FFFFFF"/>
        </w:rPr>
        <w:t>However, by not financing with leverage, the company is avoiding more risk which creditors and bank try to avoid.</w:t>
      </w:r>
    </w:p>
    <w:p w14:paraId="54004E04" w14:textId="496D4C7E" w:rsidR="004B569D" w:rsidRPr="00BD7C04" w:rsidRDefault="0044141B" w:rsidP="00BD7C04">
      <w:pPr>
        <w:spacing w:line="480" w:lineRule="auto"/>
        <w:ind w:firstLine="720"/>
        <w:contextualSpacing/>
        <w:rPr>
          <w:rFonts w:ascii="Times New Roman" w:hAnsi="Times New Roman" w:cs="Times New Roman"/>
          <w:b/>
          <w:bCs/>
          <w:i/>
          <w:iCs/>
          <w:color w:val="212529"/>
          <w:sz w:val="24"/>
          <w:szCs w:val="24"/>
          <w:shd w:val="clear" w:color="auto" w:fill="FFFFFF"/>
        </w:rPr>
      </w:pPr>
      <w:r w:rsidRPr="00C8605A">
        <w:rPr>
          <w:rFonts w:ascii="Times New Roman" w:hAnsi="Times New Roman" w:cs="Times New Roman"/>
          <w:b/>
          <w:bCs/>
          <w:color w:val="212529"/>
          <w:sz w:val="24"/>
          <w:szCs w:val="24"/>
          <w:shd w:val="clear" w:color="auto" w:fill="FFFFFF"/>
        </w:rPr>
        <w:t>Cross</w:t>
      </w:r>
      <w:r w:rsidR="004B569D" w:rsidRPr="004B569D">
        <w:rPr>
          <w:rFonts w:ascii="Times New Roman" w:hAnsi="Times New Roman" w:cs="Times New Roman"/>
          <w:b/>
          <w:bCs/>
          <w:i/>
          <w:iCs/>
          <w:color w:val="212529"/>
          <w:sz w:val="24"/>
          <w:szCs w:val="24"/>
          <w:shd w:val="clear" w:color="auto" w:fill="FFFFFF"/>
        </w:rPr>
        <w:t>-</w:t>
      </w:r>
      <w:r w:rsidR="004B569D" w:rsidRPr="00C8605A">
        <w:rPr>
          <w:rFonts w:ascii="Times New Roman" w:hAnsi="Times New Roman" w:cs="Times New Roman"/>
          <w:b/>
          <w:bCs/>
          <w:color w:val="212529"/>
          <w:sz w:val="24"/>
          <w:szCs w:val="24"/>
          <w:shd w:val="clear" w:color="auto" w:fill="FFFFFF"/>
        </w:rPr>
        <w:t>Sectional</w:t>
      </w:r>
      <w:r w:rsidRPr="004B569D">
        <w:rPr>
          <w:rFonts w:ascii="Times New Roman" w:hAnsi="Times New Roman" w:cs="Times New Roman"/>
          <w:b/>
          <w:bCs/>
          <w:i/>
          <w:iCs/>
          <w:color w:val="212529"/>
          <w:sz w:val="24"/>
          <w:szCs w:val="24"/>
          <w:shd w:val="clear" w:color="auto" w:fill="FFFFFF"/>
        </w:rPr>
        <w:t xml:space="preserve"> </w:t>
      </w:r>
      <w:r w:rsidRPr="00C8605A">
        <w:rPr>
          <w:rFonts w:ascii="Times New Roman" w:hAnsi="Times New Roman" w:cs="Times New Roman"/>
          <w:b/>
          <w:bCs/>
          <w:color w:val="212529"/>
          <w:sz w:val="24"/>
          <w:szCs w:val="24"/>
          <w:shd w:val="clear" w:color="auto" w:fill="FFFFFF"/>
        </w:rPr>
        <w:t>Analysis</w:t>
      </w:r>
      <w:r w:rsidR="00BD7C04">
        <w:rPr>
          <w:rFonts w:ascii="Times New Roman" w:hAnsi="Times New Roman" w:cs="Times New Roman"/>
          <w:b/>
          <w:bCs/>
          <w:color w:val="212529"/>
          <w:sz w:val="24"/>
          <w:szCs w:val="24"/>
          <w:shd w:val="clear" w:color="auto" w:fill="FFFFFF"/>
        </w:rPr>
        <w:t>.</w:t>
      </w:r>
      <w:r w:rsidR="00BD7C04">
        <w:rPr>
          <w:rFonts w:ascii="Times New Roman" w:hAnsi="Times New Roman" w:cs="Times New Roman"/>
          <w:b/>
          <w:bCs/>
          <w:i/>
          <w:iCs/>
          <w:color w:val="212529"/>
          <w:sz w:val="24"/>
          <w:szCs w:val="24"/>
          <w:shd w:val="clear" w:color="auto" w:fill="FFFFFF"/>
        </w:rPr>
        <w:t xml:space="preserve"> </w:t>
      </w:r>
      <w:r w:rsidRPr="003A0A70">
        <w:rPr>
          <w:rFonts w:ascii="Times New Roman" w:hAnsi="Times New Roman" w:cs="Times New Roman"/>
          <w:color w:val="212529"/>
          <w:sz w:val="24"/>
          <w:szCs w:val="24"/>
          <w:shd w:val="clear" w:color="auto" w:fill="FFFFFF"/>
        </w:rPr>
        <w:t>When comparing the two companies, both firms do</w:t>
      </w:r>
      <w:r w:rsidR="002A7BF3">
        <w:rPr>
          <w:rFonts w:ascii="Times New Roman" w:hAnsi="Times New Roman" w:cs="Times New Roman"/>
          <w:color w:val="212529"/>
          <w:sz w:val="24"/>
          <w:szCs w:val="24"/>
          <w:shd w:val="clear" w:color="auto" w:fill="FFFFFF"/>
        </w:rPr>
        <w:t xml:space="preserve"> not finance their operations </w:t>
      </w:r>
      <w:r w:rsidRPr="003A0A70">
        <w:rPr>
          <w:rFonts w:ascii="Times New Roman" w:hAnsi="Times New Roman" w:cs="Times New Roman"/>
          <w:color w:val="212529"/>
          <w:sz w:val="24"/>
          <w:szCs w:val="24"/>
          <w:shd w:val="clear" w:color="auto" w:fill="FFFFFF"/>
        </w:rPr>
        <w:t>most</w:t>
      </w:r>
      <w:r w:rsidR="002A7BF3">
        <w:rPr>
          <w:rFonts w:ascii="Times New Roman" w:hAnsi="Times New Roman" w:cs="Times New Roman"/>
          <w:color w:val="212529"/>
          <w:sz w:val="24"/>
          <w:szCs w:val="24"/>
          <w:shd w:val="clear" w:color="auto" w:fill="FFFFFF"/>
        </w:rPr>
        <w:t xml:space="preserve">ly with </w:t>
      </w:r>
      <w:r w:rsidRPr="003A0A70">
        <w:rPr>
          <w:rFonts w:ascii="Times New Roman" w:hAnsi="Times New Roman" w:cs="Times New Roman"/>
          <w:color w:val="212529"/>
          <w:sz w:val="24"/>
          <w:szCs w:val="24"/>
          <w:shd w:val="clear" w:color="auto" w:fill="FFFFFF"/>
        </w:rPr>
        <w:t xml:space="preserve">debt. Electronic Arts </w:t>
      </w:r>
      <w:r w:rsidR="006647FA">
        <w:rPr>
          <w:rFonts w:ascii="Times New Roman" w:hAnsi="Times New Roman" w:cs="Times New Roman"/>
          <w:color w:val="212529"/>
          <w:sz w:val="24"/>
          <w:szCs w:val="24"/>
          <w:shd w:val="clear" w:color="auto" w:fill="FFFFFF"/>
        </w:rPr>
        <w:t>has</w:t>
      </w:r>
      <w:r w:rsidRPr="003A0A70">
        <w:rPr>
          <w:rFonts w:ascii="Times New Roman" w:hAnsi="Times New Roman" w:cs="Times New Roman"/>
          <w:color w:val="212529"/>
          <w:sz w:val="24"/>
          <w:szCs w:val="24"/>
          <w:shd w:val="clear" w:color="auto" w:fill="FFFFFF"/>
        </w:rPr>
        <w:t xml:space="preserve"> greater debt ratio, times interest earned ratio, and financial leverage multiplier, but Activision Blizzard has the higher debt to equity ratio</w:t>
      </w:r>
      <w:r w:rsidR="002A7BF3">
        <w:rPr>
          <w:rFonts w:ascii="Times New Roman" w:hAnsi="Times New Roman" w:cs="Times New Roman"/>
          <w:color w:val="212529"/>
          <w:sz w:val="24"/>
          <w:szCs w:val="24"/>
          <w:shd w:val="clear" w:color="auto" w:fill="FFFFFF"/>
        </w:rPr>
        <w:t>,</w:t>
      </w:r>
      <w:r w:rsidRPr="003A0A70">
        <w:rPr>
          <w:rFonts w:ascii="Times New Roman" w:hAnsi="Times New Roman" w:cs="Times New Roman"/>
          <w:color w:val="212529"/>
          <w:sz w:val="24"/>
          <w:szCs w:val="24"/>
          <w:shd w:val="clear" w:color="auto" w:fill="FFFFFF"/>
        </w:rPr>
        <w:t xml:space="preserve"> meaning </w:t>
      </w:r>
      <w:r w:rsidR="002A7BF3">
        <w:rPr>
          <w:rFonts w:ascii="Times New Roman" w:hAnsi="Times New Roman" w:cs="Times New Roman"/>
          <w:color w:val="212529"/>
          <w:sz w:val="24"/>
          <w:szCs w:val="24"/>
          <w:shd w:val="clear" w:color="auto" w:fill="FFFFFF"/>
        </w:rPr>
        <w:t>Activision Blizzard</w:t>
      </w:r>
      <w:r w:rsidRPr="003A0A70">
        <w:rPr>
          <w:rFonts w:ascii="Times New Roman" w:hAnsi="Times New Roman" w:cs="Times New Roman"/>
          <w:color w:val="212529"/>
          <w:sz w:val="24"/>
          <w:szCs w:val="24"/>
          <w:shd w:val="clear" w:color="auto" w:fill="FFFFFF"/>
        </w:rPr>
        <w:t xml:space="preserve"> use</w:t>
      </w:r>
      <w:r w:rsidR="002A7BF3">
        <w:rPr>
          <w:rFonts w:ascii="Times New Roman" w:hAnsi="Times New Roman" w:cs="Times New Roman"/>
          <w:color w:val="212529"/>
          <w:sz w:val="24"/>
          <w:szCs w:val="24"/>
          <w:shd w:val="clear" w:color="auto" w:fill="FFFFFF"/>
        </w:rPr>
        <w:t>s</w:t>
      </w:r>
      <w:r w:rsidRPr="003A0A70">
        <w:rPr>
          <w:rFonts w:ascii="Times New Roman" w:hAnsi="Times New Roman" w:cs="Times New Roman"/>
          <w:color w:val="212529"/>
          <w:sz w:val="24"/>
          <w:szCs w:val="24"/>
          <w:shd w:val="clear" w:color="auto" w:fill="FFFFFF"/>
        </w:rPr>
        <w:t xml:space="preserve"> more debt to financ</w:t>
      </w:r>
      <w:r w:rsidR="002A7BF3">
        <w:rPr>
          <w:rFonts w:ascii="Times New Roman" w:hAnsi="Times New Roman" w:cs="Times New Roman"/>
          <w:color w:val="212529"/>
          <w:sz w:val="24"/>
          <w:szCs w:val="24"/>
          <w:shd w:val="clear" w:color="auto" w:fill="FFFFFF"/>
        </w:rPr>
        <w:t>e its</w:t>
      </w:r>
      <w:r w:rsidRPr="003A0A70">
        <w:rPr>
          <w:rFonts w:ascii="Times New Roman" w:hAnsi="Times New Roman" w:cs="Times New Roman"/>
          <w:color w:val="212529"/>
          <w:sz w:val="24"/>
          <w:szCs w:val="24"/>
          <w:shd w:val="clear" w:color="auto" w:fill="FFFFFF"/>
        </w:rPr>
        <w:t xml:space="preserve"> operations. </w:t>
      </w:r>
    </w:p>
    <w:p w14:paraId="3AF74946" w14:textId="115DBBF5" w:rsidR="0044141B" w:rsidRPr="004B569D" w:rsidRDefault="0044141B" w:rsidP="004B569D">
      <w:pPr>
        <w:spacing w:line="480" w:lineRule="auto"/>
        <w:contextualSpacing/>
        <w:rPr>
          <w:rFonts w:ascii="Times New Roman" w:hAnsi="Times New Roman" w:cs="Times New Roman"/>
          <w:b/>
          <w:bCs/>
          <w:color w:val="212529"/>
          <w:sz w:val="24"/>
          <w:szCs w:val="24"/>
          <w:shd w:val="clear" w:color="auto" w:fill="FFFFFF"/>
        </w:rPr>
      </w:pPr>
      <w:r w:rsidRPr="004B569D">
        <w:rPr>
          <w:rFonts w:ascii="Times New Roman" w:hAnsi="Times New Roman" w:cs="Times New Roman"/>
          <w:b/>
          <w:bCs/>
          <w:color w:val="212529"/>
          <w:sz w:val="24"/>
          <w:szCs w:val="24"/>
          <w:shd w:val="clear" w:color="auto" w:fill="FFFFFF"/>
        </w:rPr>
        <w:t>Market Ratios </w:t>
      </w:r>
    </w:p>
    <w:p w14:paraId="3D04160A" w14:textId="25C92E97" w:rsidR="008D2EBD" w:rsidRDefault="0044141B" w:rsidP="008D2EBD">
      <w:pPr>
        <w:spacing w:line="480" w:lineRule="auto"/>
        <w:ind w:firstLine="720"/>
        <w:contextualSpacing/>
        <w:rPr>
          <w:rFonts w:ascii="Times New Roman" w:hAnsi="Times New Roman" w:cs="Times New Roman"/>
          <w:color w:val="212529"/>
          <w:sz w:val="24"/>
          <w:szCs w:val="24"/>
          <w:shd w:val="clear" w:color="auto" w:fill="FFFFFF"/>
        </w:rPr>
      </w:pPr>
      <w:r w:rsidRPr="003A0A70">
        <w:rPr>
          <w:rFonts w:ascii="Times New Roman" w:hAnsi="Times New Roman" w:cs="Times New Roman"/>
          <w:sz w:val="24"/>
          <w:szCs w:val="24"/>
        </w:rPr>
        <w:t xml:space="preserve">Market ratios are used to gauge the </w:t>
      </w:r>
      <w:r w:rsidR="00004F3D" w:rsidRPr="003A0A70">
        <w:rPr>
          <w:rFonts w:ascii="Times New Roman" w:hAnsi="Times New Roman" w:cs="Times New Roman"/>
          <w:sz w:val="24"/>
          <w:szCs w:val="24"/>
        </w:rPr>
        <w:t>present</w:t>
      </w:r>
      <w:r w:rsidRPr="003A0A70">
        <w:rPr>
          <w:rFonts w:ascii="Times New Roman" w:hAnsi="Times New Roman" w:cs="Times New Roman"/>
          <w:sz w:val="24"/>
          <w:szCs w:val="24"/>
        </w:rPr>
        <w:t xml:space="preserve"> share price of a company.</w:t>
      </w:r>
      <w:r w:rsidRPr="003A0A70">
        <w:rPr>
          <w:rFonts w:ascii="Times New Roman" w:hAnsi="Times New Roman" w:cs="Times New Roman"/>
          <w:color w:val="212529"/>
          <w:sz w:val="24"/>
          <w:szCs w:val="24"/>
          <w:shd w:val="clear" w:color="auto" w:fill="FFFFFF"/>
        </w:rPr>
        <w:t> This ratio allows current and potential investors to determine whether a company’s share</w:t>
      </w:r>
      <w:r w:rsidR="002A7BF3">
        <w:rPr>
          <w:rFonts w:ascii="Times New Roman" w:hAnsi="Times New Roman" w:cs="Times New Roman"/>
          <w:color w:val="212529"/>
          <w:sz w:val="24"/>
          <w:szCs w:val="24"/>
          <w:shd w:val="clear" w:color="auto" w:fill="FFFFFF"/>
        </w:rPr>
        <w:t xml:space="preserve"> price</w:t>
      </w:r>
      <w:r w:rsidRPr="003A0A70">
        <w:rPr>
          <w:rFonts w:ascii="Times New Roman" w:hAnsi="Times New Roman" w:cs="Times New Roman"/>
          <w:color w:val="212529"/>
          <w:sz w:val="24"/>
          <w:szCs w:val="24"/>
          <w:shd w:val="clear" w:color="auto" w:fill="FFFFFF"/>
        </w:rPr>
        <w:t xml:space="preserve"> is overvalued or undervalued. Below are two tables showing the market ratios of both companies.</w:t>
      </w:r>
    </w:p>
    <w:p w14:paraId="011C5C1D" w14:textId="77777777" w:rsidR="002A7BF3" w:rsidRDefault="002A7BF3" w:rsidP="008D2EBD">
      <w:pPr>
        <w:spacing w:line="480" w:lineRule="auto"/>
        <w:ind w:firstLine="720"/>
        <w:contextualSpacing/>
        <w:rPr>
          <w:rFonts w:ascii="Times New Roman" w:hAnsi="Times New Roman" w:cs="Times New Roman"/>
          <w:color w:val="212529"/>
          <w:sz w:val="24"/>
          <w:szCs w:val="24"/>
          <w:shd w:val="clear" w:color="auto" w:fill="FFFFFF"/>
        </w:rPr>
      </w:pPr>
    </w:p>
    <w:p w14:paraId="38066BF3" w14:textId="77777777" w:rsidR="002A7BF3" w:rsidRDefault="002A7BF3" w:rsidP="008D2EBD">
      <w:pPr>
        <w:spacing w:line="480" w:lineRule="auto"/>
        <w:ind w:firstLine="720"/>
        <w:contextualSpacing/>
        <w:rPr>
          <w:rFonts w:ascii="Times New Roman" w:hAnsi="Times New Roman" w:cs="Times New Roman"/>
          <w:color w:val="212529"/>
          <w:sz w:val="24"/>
          <w:szCs w:val="24"/>
          <w:shd w:val="clear" w:color="auto" w:fill="FFFFFF"/>
        </w:rPr>
      </w:pPr>
    </w:p>
    <w:p w14:paraId="69681195" w14:textId="77777777" w:rsidR="002A7BF3" w:rsidRPr="008D2EBD" w:rsidRDefault="002A7BF3" w:rsidP="008D2EBD">
      <w:pPr>
        <w:spacing w:line="480" w:lineRule="auto"/>
        <w:ind w:firstLine="720"/>
        <w:contextualSpacing/>
        <w:rPr>
          <w:rFonts w:ascii="Times New Roman" w:hAnsi="Times New Roman" w:cs="Times New Roman"/>
          <w:color w:val="212529"/>
          <w:sz w:val="24"/>
          <w:szCs w:val="24"/>
          <w:shd w:val="clear" w:color="auto" w:fill="FFFFFF"/>
        </w:rPr>
      </w:pPr>
    </w:p>
    <w:tbl>
      <w:tblPr>
        <w:tblW w:w="9360" w:type="dxa"/>
        <w:tblLayout w:type="fixed"/>
        <w:tblLook w:val="04A0" w:firstRow="1" w:lastRow="0" w:firstColumn="1" w:lastColumn="0" w:noHBand="0" w:noVBand="1"/>
      </w:tblPr>
      <w:tblGrid>
        <w:gridCol w:w="1530"/>
        <w:gridCol w:w="1354"/>
        <w:gridCol w:w="1354"/>
        <w:gridCol w:w="1354"/>
        <w:gridCol w:w="1354"/>
        <w:gridCol w:w="1354"/>
        <w:gridCol w:w="1060"/>
      </w:tblGrid>
      <w:tr w:rsidR="003F7E1E" w:rsidRPr="003A0A70" w14:paraId="1FF0E968" w14:textId="77777777" w:rsidTr="00250DA5">
        <w:trPr>
          <w:trHeight w:val="180"/>
        </w:trPr>
        <w:tc>
          <w:tcPr>
            <w:tcW w:w="9360" w:type="dxa"/>
            <w:gridSpan w:val="7"/>
            <w:tcBorders>
              <w:top w:val="nil"/>
              <w:left w:val="nil"/>
              <w:bottom w:val="single" w:sz="12" w:space="0" w:color="4472C4"/>
              <w:right w:val="nil"/>
            </w:tcBorders>
            <w:shd w:val="clear" w:color="000000" w:fill="8EA9DB"/>
            <w:noWrap/>
            <w:vAlign w:val="bottom"/>
            <w:hideMark/>
          </w:tcPr>
          <w:p w14:paraId="0D87706E" w14:textId="77777777" w:rsidR="003F7E1E" w:rsidRPr="003A0A70" w:rsidRDefault="003F7E1E" w:rsidP="00581D82">
            <w:pPr>
              <w:spacing w:after="0" w:line="240" w:lineRule="auto"/>
              <w:jc w:val="center"/>
              <w:rPr>
                <w:rFonts w:ascii="Times New Roman" w:eastAsia="Times New Roman" w:hAnsi="Times New Roman" w:cs="Times New Roman"/>
                <w:b/>
                <w:bCs/>
                <w:color w:val="44546A"/>
                <w:sz w:val="24"/>
                <w:szCs w:val="24"/>
              </w:rPr>
            </w:pPr>
            <w:r w:rsidRPr="003A0A70">
              <w:rPr>
                <w:rFonts w:ascii="Times New Roman" w:eastAsia="Times New Roman" w:hAnsi="Times New Roman" w:cs="Times New Roman"/>
                <w:b/>
                <w:bCs/>
                <w:color w:val="44546A"/>
                <w:sz w:val="24"/>
                <w:szCs w:val="24"/>
              </w:rPr>
              <w:lastRenderedPageBreak/>
              <w:t xml:space="preserve">Electronic Arts - </w:t>
            </w:r>
            <w:r w:rsidR="00581D82" w:rsidRPr="003A0A70">
              <w:rPr>
                <w:rFonts w:ascii="Times New Roman" w:eastAsia="Times New Roman" w:hAnsi="Times New Roman" w:cs="Times New Roman"/>
                <w:b/>
                <w:bCs/>
                <w:color w:val="44546A"/>
                <w:sz w:val="24"/>
                <w:szCs w:val="24"/>
              </w:rPr>
              <w:t>Market</w:t>
            </w:r>
            <w:r w:rsidRPr="003A0A70">
              <w:rPr>
                <w:rFonts w:ascii="Times New Roman" w:eastAsia="Times New Roman" w:hAnsi="Times New Roman" w:cs="Times New Roman"/>
                <w:b/>
                <w:bCs/>
                <w:color w:val="44546A"/>
                <w:sz w:val="24"/>
                <w:szCs w:val="24"/>
              </w:rPr>
              <w:t xml:space="preserve"> Ratios</w:t>
            </w:r>
          </w:p>
        </w:tc>
      </w:tr>
      <w:tr w:rsidR="00581D82" w:rsidRPr="003A0A70" w14:paraId="3EAE8A28" w14:textId="77777777" w:rsidTr="00250DA5">
        <w:trPr>
          <w:trHeight w:val="315"/>
        </w:trPr>
        <w:tc>
          <w:tcPr>
            <w:tcW w:w="1530" w:type="dxa"/>
            <w:tcBorders>
              <w:top w:val="nil"/>
              <w:left w:val="nil"/>
              <w:bottom w:val="nil"/>
              <w:right w:val="nil"/>
            </w:tcBorders>
            <w:shd w:val="clear" w:color="000000" w:fill="4472C4"/>
            <w:noWrap/>
            <w:vAlign w:val="bottom"/>
            <w:hideMark/>
          </w:tcPr>
          <w:p w14:paraId="7836EC28" w14:textId="77777777" w:rsidR="003F7E1E" w:rsidRPr="003A0A70" w:rsidRDefault="003F7E1E" w:rsidP="003F7E1E">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 </w:t>
            </w:r>
          </w:p>
        </w:tc>
        <w:tc>
          <w:tcPr>
            <w:tcW w:w="1354" w:type="dxa"/>
            <w:tcBorders>
              <w:top w:val="single" w:sz="4" w:space="0" w:color="8EA9DB"/>
              <w:left w:val="single" w:sz="4" w:space="0" w:color="8EA9DB"/>
              <w:bottom w:val="single" w:sz="4" w:space="0" w:color="8EA9DB"/>
              <w:right w:val="nil"/>
            </w:tcBorders>
            <w:shd w:val="clear" w:color="4472C4" w:fill="4472C4"/>
            <w:noWrap/>
            <w:vAlign w:val="bottom"/>
            <w:hideMark/>
          </w:tcPr>
          <w:p w14:paraId="6E0EAF44" w14:textId="77777777" w:rsidR="003F7E1E" w:rsidRPr="004B569D" w:rsidRDefault="003F7E1E" w:rsidP="00581D82">
            <w:pPr>
              <w:spacing w:after="0" w:line="240" w:lineRule="auto"/>
              <w:jc w:val="center"/>
              <w:rPr>
                <w:rFonts w:ascii="Times New Roman" w:eastAsia="Times New Roman" w:hAnsi="Times New Roman" w:cs="Times New Roman"/>
                <w:b/>
                <w:bCs/>
                <w:color w:val="FFFFFF"/>
                <w:sz w:val="18"/>
                <w:szCs w:val="18"/>
              </w:rPr>
            </w:pPr>
            <w:r w:rsidRPr="004B569D">
              <w:rPr>
                <w:rFonts w:ascii="Times New Roman" w:eastAsia="Times New Roman" w:hAnsi="Times New Roman" w:cs="Times New Roman"/>
                <w:b/>
                <w:bCs/>
                <w:color w:val="FFFFFF"/>
                <w:sz w:val="18"/>
                <w:szCs w:val="18"/>
              </w:rPr>
              <w:t>2019</w:t>
            </w:r>
          </w:p>
        </w:tc>
        <w:tc>
          <w:tcPr>
            <w:tcW w:w="1354" w:type="dxa"/>
            <w:tcBorders>
              <w:top w:val="single" w:sz="4" w:space="0" w:color="8EA9DB"/>
              <w:left w:val="nil"/>
              <w:bottom w:val="single" w:sz="4" w:space="0" w:color="8EA9DB"/>
              <w:right w:val="nil"/>
            </w:tcBorders>
            <w:shd w:val="clear" w:color="4472C4" w:fill="4472C4"/>
            <w:noWrap/>
            <w:vAlign w:val="bottom"/>
            <w:hideMark/>
          </w:tcPr>
          <w:p w14:paraId="4466C3E8" w14:textId="77777777" w:rsidR="003F7E1E" w:rsidRPr="004B569D" w:rsidRDefault="003F7E1E" w:rsidP="00581D82">
            <w:pPr>
              <w:spacing w:after="0" w:line="240" w:lineRule="auto"/>
              <w:jc w:val="center"/>
              <w:rPr>
                <w:rFonts w:ascii="Times New Roman" w:eastAsia="Times New Roman" w:hAnsi="Times New Roman" w:cs="Times New Roman"/>
                <w:b/>
                <w:bCs/>
                <w:color w:val="FFFFFF"/>
                <w:sz w:val="18"/>
                <w:szCs w:val="18"/>
              </w:rPr>
            </w:pPr>
            <w:r w:rsidRPr="004B569D">
              <w:rPr>
                <w:rFonts w:ascii="Times New Roman" w:eastAsia="Times New Roman" w:hAnsi="Times New Roman" w:cs="Times New Roman"/>
                <w:b/>
                <w:bCs/>
                <w:color w:val="FFFFFF"/>
                <w:sz w:val="18"/>
                <w:szCs w:val="18"/>
              </w:rPr>
              <w:t>2018</w:t>
            </w:r>
          </w:p>
        </w:tc>
        <w:tc>
          <w:tcPr>
            <w:tcW w:w="1354" w:type="dxa"/>
            <w:tcBorders>
              <w:top w:val="single" w:sz="4" w:space="0" w:color="8EA9DB"/>
              <w:left w:val="nil"/>
              <w:bottom w:val="single" w:sz="4" w:space="0" w:color="8EA9DB"/>
              <w:right w:val="nil"/>
            </w:tcBorders>
            <w:shd w:val="clear" w:color="4472C4" w:fill="4472C4"/>
            <w:noWrap/>
            <w:vAlign w:val="bottom"/>
            <w:hideMark/>
          </w:tcPr>
          <w:p w14:paraId="35766D07" w14:textId="77777777" w:rsidR="003F7E1E" w:rsidRPr="004B569D" w:rsidRDefault="003F7E1E" w:rsidP="00581D82">
            <w:pPr>
              <w:spacing w:after="0" w:line="240" w:lineRule="auto"/>
              <w:jc w:val="center"/>
              <w:rPr>
                <w:rFonts w:ascii="Times New Roman" w:eastAsia="Times New Roman" w:hAnsi="Times New Roman" w:cs="Times New Roman"/>
                <w:b/>
                <w:bCs/>
                <w:color w:val="FFFFFF"/>
                <w:sz w:val="18"/>
                <w:szCs w:val="18"/>
              </w:rPr>
            </w:pPr>
            <w:r w:rsidRPr="004B569D">
              <w:rPr>
                <w:rFonts w:ascii="Times New Roman" w:eastAsia="Times New Roman" w:hAnsi="Times New Roman" w:cs="Times New Roman"/>
                <w:b/>
                <w:bCs/>
                <w:color w:val="FFFFFF"/>
                <w:sz w:val="18"/>
                <w:szCs w:val="18"/>
              </w:rPr>
              <w:t>2017</w:t>
            </w:r>
          </w:p>
        </w:tc>
        <w:tc>
          <w:tcPr>
            <w:tcW w:w="1354" w:type="dxa"/>
            <w:tcBorders>
              <w:top w:val="single" w:sz="4" w:space="0" w:color="8EA9DB"/>
              <w:left w:val="nil"/>
              <w:bottom w:val="single" w:sz="4" w:space="0" w:color="8EA9DB"/>
              <w:right w:val="nil"/>
            </w:tcBorders>
            <w:shd w:val="clear" w:color="4472C4" w:fill="4472C4"/>
            <w:noWrap/>
            <w:vAlign w:val="bottom"/>
            <w:hideMark/>
          </w:tcPr>
          <w:p w14:paraId="1B4185E7" w14:textId="77777777" w:rsidR="003F7E1E" w:rsidRPr="004B569D" w:rsidRDefault="003F7E1E" w:rsidP="00581D82">
            <w:pPr>
              <w:spacing w:after="0" w:line="240" w:lineRule="auto"/>
              <w:jc w:val="center"/>
              <w:rPr>
                <w:rFonts w:ascii="Times New Roman" w:eastAsia="Times New Roman" w:hAnsi="Times New Roman" w:cs="Times New Roman"/>
                <w:b/>
                <w:bCs/>
                <w:color w:val="FFFFFF"/>
                <w:sz w:val="18"/>
                <w:szCs w:val="18"/>
              </w:rPr>
            </w:pPr>
            <w:r w:rsidRPr="004B569D">
              <w:rPr>
                <w:rFonts w:ascii="Times New Roman" w:eastAsia="Times New Roman" w:hAnsi="Times New Roman" w:cs="Times New Roman"/>
                <w:b/>
                <w:bCs/>
                <w:color w:val="FFFFFF"/>
                <w:sz w:val="18"/>
                <w:szCs w:val="18"/>
              </w:rPr>
              <w:t>2016</w:t>
            </w:r>
          </w:p>
        </w:tc>
        <w:tc>
          <w:tcPr>
            <w:tcW w:w="1354" w:type="dxa"/>
            <w:tcBorders>
              <w:top w:val="single" w:sz="4" w:space="0" w:color="8EA9DB"/>
              <w:left w:val="nil"/>
              <w:bottom w:val="single" w:sz="4" w:space="0" w:color="8EA9DB"/>
              <w:right w:val="nil"/>
            </w:tcBorders>
            <w:shd w:val="clear" w:color="4472C4" w:fill="4472C4"/>
            <w:noWrap/>
            <w:vAlign w:val="bottom"/>
            <w:hideMark/>
          </w:tcPr>
          <w:p w14:paraId="3BBAB906" w14:textId="77777777" w:rsidR="003F7E1E" w:rsidRPr="004B569D" w:rsidRDefault="003F7E1E" w:rsidP="00581D82">
            <w:pPr>
              <w:spacing w:after="0" w:line="240" w:lineRule="auto"/>
              <w:jc w:val="center"/>
              <w:rPr>
                <w:rFonts w:ascii="Times New Roman" w:eastAsia="Times New Roman" w:hAnsi="Times New Roman" w:cs="Times New Roman"/>
                <w:b/>
                <w:bCs/>
                <w:color w:val="FFFFFF"/>
                <w:sz w:val="18"/>
                <w:szCs w:val="18"/>
              </w:rPr>
            </w:pPr>
            <w:r w:rsidRPr="004B569D">
              <w:rPr>
                <w:rFonts w:ascii="Times New Roman" w:eastAsia="Times New Roman" w:hAnsi="Times New Roman" w:cs="Times New Roman"/>
                <w:b/>
                <w:bCs/>
                <w:color w:val="FFFFFF"/>
                <w:sz w:val="18"/>
                <w:szCs w:val="18"/>
              </w:rPr>
              <w:t>2015</w:t>
            </w:r>
          </w:p>
        </w:tc>
        <w:tc>
          <w:tcPr>
            <w:tcW w:w="1060" w:type="dxa"/>
            <w:tcBorders>
              <w:top w:val="single" w:sz="4" w:space="0" w:color="8EA9DB"/>
              <w:left w:val="nil"/>
              <w:bottom w:val="single" w:sz="4" w:space="0" w:color="8EA9DB"/>
              <w:right w:val="single" w:sz="4" w:space="0" w:color="8EA9DB"/>
            </w:tcBorders>
            <w:shd w:val="clear" w:color="4472C4" w:fill="4472C4"/>
            <w:noWrap/>
            <w:vAlign w:val="bottom"/>
            <w:hideMark/>
          </w:tcPr>
          <w:p w14:paraId="0558E750" w14:textId="77777777" w:rsidR="003F7E1E" w:rsidRPr="004B569D" w:rsidRDefault="003F7E1E" w:rsidP="00581D82">
            <w:pPr>
              <w:spacing w:after="0" w:line="240" w:lineRule="auto"/>
              <w:jc w:val="center"/>
              <w:rPr>
                <w:rFonts w:ascii="Times New Roman" w:eastAsia="Times New Roman" w:hAnsi="Times New Roman" w:cs="Times New Roman"/>
                <w:b/>
                <w:bCs/>
                <w:color w:val="FFFFFF"/>
                <w:sz w:val="18"/>
                <w:szCs w:val="18"/>
              </w:rPr>
            </w:pPr>
            <w:r w:rsidRPr="004B569D">
              <w:rPr>
                <w:rFonts w:ascii="Times New Roman" w:eastAsia="Times New Roman" w:hAnsi="Times New Roman" w:cs="Times New Roman"/>
                <w:b/>
                <w:bCs/>
                <w:color w:val="FFFFFF"/>
                <w:sz w:val="18"/>
                <w:szCs w:val="18"/>
              </w:rPr>
              <w:t>Industry Average</w:t>
            </w:r>
          </w:p>
        </w:tc>
      </w:tr>
      <w:tr w:rsidR="00581D82" w:rsidRPr="003A0A70" w14:paraId="61E0C51E" w14:textId="77777777" w:rsidTr="00250DA5">
        <w:trPr>
          <w:trHeight w:val="300"/>
        </w:trPr>
        <w:tc>
          <w:tcPr>
            <w:tcW w:w="1530" w:type="dxa"/>
            <w:tcBorders>
              <w:top w:val="nil"/>
              <w:left w:val="nil"/>
              <w:bottom w:val="nil"/>
              <w:right w:val="nil"/>
            </w:tcBorders>
            <w:shd w:val="clear" w:color="000000" w:fill="0070C0"/>
            <w:vAlign w:val="bottom"/>
            <w:hideMark/>
          </w:tcPr>
          <w:p w14:paraId="48F6ECCF" w14:textId="77777777" w:rsidR="003F7E1E" w:rsidRPr="003A0A70" w:rsidRDefault="003F7E1E" w:rsidP="003F7E1E">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 xml:space="preserve">Market Price per Share </w:t>
            </w:r>
          </w:p>
        </w:tc>
        <w:tc>
          <w:tcPr>
            <w:tcW w:w="1354" w:type="dxa"/>
            <w:tcBorders>
              <w:top w:val="single" w:sz="4" w:space="0" w:color="8EA9DB"/>
              <w:left w:val="single" w:sz="4" w:space="0" w:color="8EA9DB"/>
              <w:bottom w:val="single" w:sz="4" w:space="0" w:color="8EA9DB"/>
              <w:right w:val="nil"/>
            </w:tcBorders>
            <w:shd w:val="clear" w:color="D9E1F2" w:fill="D9E1F2"/>
            <w:noWrap/>
            <w:vAlign w:val="bottom"/>
            <w:hideMark/>
          </w:tcPr>
          <w:p w14:paraId="43E79797"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$102.67</w:t>
            </w:r>
          </w:p>
        </w:tc>
        <w:tc>
          <w:tcPr>
            <w:tcW w:w="1354" w:type="dxa"/>
            <w:tcBorders>
              <w:top w:val="single" w:sz="4" w:space="0" w:color="8EA9DB"/>
              <w:left w:val="nil"/>
              <w:bottom w:val="single" w:sz="4" w:space="0" w:color="8EA9DB"/>
              <w:right w:val="nil"/>
            </w:tcBorders>
            <w:shd w:val="clear" w:color="D9E1F2" w:fill="D9E1F2"/>
            <w:noWrap/>
            <w:vAlign w:val="bottom"/>
            <w:hideMark/>
          </w:tcPr>
          <w:p w14:paraId="26AF6641"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$111.72</w:t>
            </w:r>
          </w:p>
        </w:tc>
        <w:tc>
          <w:tcPr>
            <w:tcW w:w="1354" w:type="dxa"/>
            <w:tcBorders>
              <w:top w:val="single" w:sz="4" w:space="0" w:color="8EA9DB"/>
              <w:left w:val="nil"/>
              <w:bottom w:val="single" w:sz="4" w:space="0" w:color="8EA9DB"/>
              <w:right w:val="nil"/>
            </w:tcBorders>
            <w:shd w:val="clear" w:color="D9E1F2" w:fill="D9E1F2"/>
            <w:noWrap/>
            <w:vAlign w:val="bottom"/>
            <w:hideMark/>
          </w:tcPr>
          <w:p w14:paraId="31F2A2C2"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$89.52</w:t>
            </w:r>
          </w:p>
        </w:tc>
        <w:tc>
          <w:tcPr>
            <w:tcW w:w="1354" w:type="dxa"/>
            <w:tcBorders>
              <w:top w:val="single" w:sz="4" w:space="0" w:color="8EA9DB"/>
              <w:left w:val="nil"/>
              <w:bottom w:val="single" w:sz="4" w:space="0" w:color="8EA9DB"/>
              <w:right w:val="nil"/>
            </w:tcBorders>
            <w:shd w:val="clear" w:color="D9E1F2" w:fill="D9E1F2"/>
            <w:noWrap/>
            <w:vAlign w:val="bottom"/>
            <w:hideMark/>
          </w:tcPr>
          <w:p w14:paraId="445AA978"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$66.11</w:t>
            </w:r>
          </w:p>
        </w:tc>
        <w:tc>
          <w:tcPr>
            <w:tcW w:w="1354" w:type="dxa"/>
            <w:tcBorders>
              <w:top w:val="single" w:sz="4" w:space="0" w:color="8EA9DB"/>
              <w:left w:val="nil"/>
              <w:bottom w:val="single" w:sz="4" w:space="0" w:color="8EA9DB"/>
              <w:right w:val="nil"/>
            </w:tcBorders>
            <w:shd w:val="clear" w:color="D9E1F2" w:fill="D9E1F2"/>
            <w:noWrap/>
            <w:vAlign w:val="bottom"/>
            <w:hideMark/>
          </w:tcPr>
          <w:p w14:paraId="652434E3"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$58.82</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390DCF91"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p>
        </w:tc>
      </w:tr>
      <w:tr w:rsidR="00581D82" w:rsidRPr="003A0A70" w14:paraId="7206E4E8" w14:textId="77777777" w:rsidTr="00250DA5">
        <w:trPr>
          <w:trHeight w:val="300"/>
        </w:trPr>
        <w:tc>
          <w:tcPr>
            <w:tcW w:w="1530" w:type="dxa"/>
            <w:tcBorders>
              <w:top w:val="nil"/>
              <w:left w:val="nil"/>
              <w:bottom w:val="nil"/>
              <w:right w:val="nil"/>
            </w:tcBorders>
            <w:shd w:val="clear" w:color="000000" w:fill="0070C0"/>
            <w:vAlign w:val="bottom"/>
            <w:hideMark/>
          </w:tcPr>
          <w:p w14:paraId="06F6E8C4" w14:textId="77777777" w:rsidR="003F7E1E" w:rsidRPr="003A0A70" w:rsidRDefault="003F7E1E" w:rsidP="003F7E1E">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 xml:space="preserve">Book price per share </w:t>
            </w:r>
          </w:p>
        </w:tc>
        <w:tc>
          <w:tcPr>
            <w:tcW w:w="1354" w:type="dxa"/>
            <w:tcBorders>
              <w:top w:val="single" w:sz="4" w:space="0" w:color="8EA9DB"/>
              <w:left w:val="single" w:sz="4" w:space="0" w:color="8EA9DB"/>
              <w:bottom w:val="single" w:sz="4" w:space="0" w:color="8EA9DB"/>
              <w:right w:val="nil"/>
            </w:tcBorders>
            <w:shd w:val="clear" w:color="auto" w:fill="auto"/>
            <w:noWrap/>
            <w:vAlign w:val="bottom"/>
            <w:hideMark/>
          </w:tcPr>
          <w:p w14:paraId="494C6B03"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$17.88</w:t>
            </w:r>
          </w:p>
        </w:tc>
        <w:tc>
          <w:tcPr>
            <w:tcW w:w="1354" w:type="dxa"/>
            <w:tcBorders>
              <w:top w:val="single" w:sz="4" w:space="0" w:color="8EA9DB"/>
              <w:left w:val="nil"/>
              <w:bottom w:val="single" w:sz="4" w:space="0" w:color="8EA9DB"/>
              <w:right w:val="nil"/>
            </w:tcBorders>
            <w:shd w:val="clear" w:color="auto" w:fill="auto"/>
            <w:noWrap/>
            <w:vAlign w:val="bottom"/>
            <w:hideMark/>
          </w:tcPr>
          <w:p w14:paraId="13B23AB1"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$15.00</w:t>
            </w:r>
          </w:p>
        </w:tc>
        <w:tc>
          <w:tcPr>
            <w:tcW w:w="1354" w:type="dxa"/>
            <w:tcBorders>
              <w:top w:val="single" w:sz="4" w:space="0" w:color="8EA9DB"/>
              <w:left w:val="nil"/>
              <w:bottom w:val="single" w:sz="4" w:space="0" w:color="8EA9DB"/>
              <w:right w:val="nil"/>
            </w:tcBorders>
            <w:shd w:val="clear" w:color="auto" w:fill="auto"/>
            <w:noWrap/>
            <w:vAlign w:val="bottom"/>
            <w:hideMark/>
          </w:tcPr>
          <w:p w14:paraId="378261A8"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$13.17</w:t>
            </w:r>
          </w:p>
        </w:tc>
        <w:tc>
          <w:tcPr>
            <w:tcW w:w="1354" w:type="dxa"/>
            <w:tcBorders>
              <w:top w:val="single" w:sz="4" w:space="0" w:color="8EA9DB"/>
              <w:left w:val="nil"/>
              <w:bottom w:val="single" w:sz="4" w:space="0" w:color="8EA9DB"/>
              <w:right w:val="nil"/>
            </w:tcBorders>
            <w:shd w:val="clear" w:color="auto" w:fill="auto"/>
            <w:noWrap/>
            <w:vAlign w:val="bottom"/>
            <w:hideMark/>
          </w:tcPr>
          <w:p w14:paraId="1FE93D34"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$11.30</w:t>
            </w:r>
          </w:p>
        </w:tc>
        <w:tc>
          <w:tcPr>
            <w:tcW w:w="1354" w:type="dxa"/>
            <w:tcBorders>
              <w:top w:val="single" w:sz="4" w:space="0" w:color="8EA9DB"/>
              <w:left w:val="nil"/>
              <w:bottom w:val="single" w:sz="4" w:space="0" w:color="8EA9DB"/>
              <w:right w:val="nil"/>
            </w:tcBorders>
            <w:shd w:val="clear" w:color="auto" w:fill="auto"/>
            <w:noWrap/>
            <w:vAlign w:val="bottom"/>
            <w:hideMark/>
          </w:tcPr>
          <w:p w14:paraId="51DDBF31"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$9.80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42FCA9B2"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$2.63</w:t>
            </w:r>
          </w:p>
        </w:tc>
      </w:tr>
      <w:tr w:rsidR="00581D82" w:rsidRPr="003A0A70" w14:paraId="13798ADC" w14:textId="77777777" w:rsidTr="00250DA5">
        <w:trPr>
          <w:trHeight w:val="300"/>
        </w:trPr>
        <w:tc>
          <w:tcPr>
            <w:tcW w:w="1530" w:type="dxa"/>
            <w:tcBorders>
              <w:top w:val="nil"/>
              <w:left w:val="nil"/>
              <w:bottom w:val="nil"/>
              <w:right w:val="nil"/>
            </w:tcBorders>
            <w:shd w:val="clear" w:color="000000" w:fill="0070C0"/>
            <w:vAlign w:val="bottom"/>
            <w:hideMark/>
          </w:tcPr>
          <w:p w14:paraId="0D8890EB" w14:textId="77777777" w:rsidR="003F7E1E" w:rsidRPr="003A0A70" w:rsidRDefault="003F7E1E" w:rsidP="003F7E1E">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Market to Book ratio</w:t>
            </w:r>
          </w:p>
        </w:tc>
        <w:tc>
          <w:tcPr>
            <w:tcW w:w="1354" w:type="dxa"/>
            <w:tcBorders>
              <w:top w:val="single" w:sz="4" w:space="0" w:color="8EA9DB"/>
              <w:left w:val="single" w:sz="4" w:space="0" w:color="8EA9DB"/>
              <w:bottom w:val="single" w:sz="4" w:space="0" w:color="8EA9DB"/>
              <w:right w:val="nil"/>
            </w:tcBorders>
            <w:shd w:val="clear" w:color="D9E1F2" w:fill="D9E1F2"/>
            <w:noWrap/>
            <w:vAlign w:val="bottom"/>
            <w:hideMark/>
          </w:tcPr>
          <w:p w14:paraId="4B2C4BEE"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$5.74</w:t>
            </w:r>
          </w:p>
        </w:tc>
        <w:tc>
          <w:tcPr>
            <w:tcW w:w="1354" w:type="dxa"/>
            <w:tcBorders>
              <w:top w:val="single" w:sz="4" w:space="0" w:color="8EA9DB"/>
              <w:left w:val="nil"/>
              <w:bottom w:val="single" w:sz="4" w:space="0" w:color="8EA9DB"/>
              <w:right w:val="nil"/>
            </w:tcBorders>
            <w:shd w:val="clear" w:color="D9E1F2" w:fill="D9E1F2"/>
            <w:noWrap/>
            <w:vAlign w:val="bottom"/>
            <w:hideMark/>
          </w:tcPr>
          <w:p w14:paraId="7D69CB04"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$7.45</w:t>
            </w:r>
          </w:p>
        </w:tc>
        <w:tc>
          <w:tcPr>
            <w:tcW w:w="1354" w:type="dxa"/>
            <w:tcBorders>
              <w:top w:val="single" w:sz="4" w:space="0" w:color="8EA9DB"/>
              <w:left w:val="nil"/>
              <w:bottom w:val="single" w:sz="4" w:space="0" w:color="8EA9DB"/>
              <w:right w:val="nil"/>
            </w:tcBorders>
            <w:shd w:val="clear" w:color="D9E1F2" w:fill="D9E1F2"/>
            <w:noWrap/>
            <w:vAlign w:val="bottom"/>
            <w:hideMark/>
          </w:tcPr>
          <w:p w14:paraId="5E9E4553"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$6.80</w:t>
            </w:r>
          </w:p>
        </w:tc>
        <w:tc>
          <w:tcPr>
            <w:tcW w:w="1354" w:type="dxa"/>
            <w:tcBorders>
              <w:top w:val="single" w:sz="4" w:space="0" w:color="8EA9DB"/>
              <w:left w:val="nil"/>
              <w:bottom w:val="single" w:sz="4" w:space="0" w:color="8EA9DB"/>
              <w:right w:val="nil"/>
            </w:tcBorders>
            <w:shd w:val="clear" w:color="D9E1F2" w:fill="D9E1F2"/>
            <w:noWrap/>
            <w:vAlign w:val="bottom"/>
            <w:hideMark/>
          </w:tcPr>
          <w:p w14:paraId="78D65824"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$5.85</w:t>
            </w:r>
          </w:p>
        </w:tc>
        <w:tc>
          <w:tcPr>
            <w:tcW w:w="1354" w:type="dxa"/>
            <w:tcBorders>
              <w:top w:val="single" w:sz="4" w:space="0" w:color="8EA9DB"/>
              <w:left w:val="nil"/>
              <w:bottom w:val="single" w:sz="4" w:space="0" w:color="8EA9DB"/>
              <w:right w:val="nil"/>
            </w:tcBorders>
            <w:shd w:val="clear" w:color="D9E1F2" w:fill="D9E1F2"/>
            <w:noWrap/>
            <w:vAlign w:val="bottom"/>
            <w:hideMark/>
          </w:tcPr>
          <w:p w14:paraId="520058DC"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$6.00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725DCC75"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$5.42</w:t>
            </w:r>
          </w:p>
        </w:tc>
      </w:tr>
      <w:tr w:rsidR="00581D82" w:rsidRPr="003A0A70" w14:paraId="2DA525BE" w14:textId="77777777" w:rsidTr="00250DA5">
        <w:trPr>
          <w:trHeight w:val="300"/>
        </w:trPr>
        <w:tc>
          <w:tcPr>
            <w:tcW w:w="1530" w:type="dxa"/>
            <w:tcBorders>
              <w:top w:val="nil"/>
              <w:left w:val="nil"/>
              <w:bottom w:val="nil"/>
              <w:right w:val="nil"/>
            </w:tcBorders>
            <w:shd w:val="clear" w:color="000000" w:fill="0070C0"/>
            <w:vAlign w:val="bottom"/>
            <w:hideMark/>
          </w:tcPr>
          <w:p w14:paraId="38D0D232" w14:textId="21FE9A46" w:rsidR="003F7E1E" w:rsidRPr="003A0A70" w:rsidRDefault="003F7E1E" w:rsidP="003F7E1E">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 xml:space="preserve">Market </w:t>
            </w:r>
            <w:r w:rsidR="00C94EBA" w:rsidRPr="003A0A70">
              <w:rPr>
                <w:rFonts w:ascii="Times New Roman" w:eastAsia="Times New Roman" w:hAnsi="Times New Roman" w:cs="Times New Roman"/>
                <w:color w:val="FFFFFF"/>
                <w:sz w:val="24"/>
                <w:szCs w:val="24"/>
              </w:rPr>
              <w:t>capitalization</w:t>
            </w:r>
            <w:r w:rsidRPr="003A0A70">
              <w:rPr>
                <w:rFonts w:ascii="Times New Roman" w:eastAsia="Times New Roman" w:hAnsi="Times New Roman" w:cs="Times New Roman"/>
                <w:color w:val="FFFFFF"/>
                <w:sz w:val="24"/>
                <w:szCs w:val="24"/>
              </w:rPr>
              <w:t xml:space="preserve"> </w:t>
            </w:r>
          </w:p>
        </w:tc>
        <w:tc>
          <w:tcPr>
            <w:tcW w:w="1354" w:type="dxa"/>
            <w:tcBorders>
              <w:top w:val="single" w:sz="4" w:space="0" w:color="8EA9DB"/>
              <w:left w:val="single" w:sz="4" w:space="0" w:color="8EA9DB"/>
              <w:bottom w:val="single" w:sz="4" w:space="0" w:color="8EA9DB"/>
              <w:right w:val="nil"/>
            </w:tcBorders>
            <w:shd w:val="clear" w:color="auto" w:fill="auto"/>
            <w:noWrap/>
            <w:vAlign w:val="bottom"/>
            <w:hideMark/>
          </w:tcPr>
          <w:p w14:paraId="3E1C8B73" w14:textId="77777777" w:rsidR="003F7E1E" w:rsidRPr="004B569D" w:rsidRDefault="003F7E1E" w:rsidP="00250DA5">
            <w:pPr>
              <w:spacing w:after="0" w:line="240" w:lineRule="auto"/>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$30,606,645.69</w:t>
            </w:r>
          </w:p>
        </w:tc>
        <w:tc>
          <w:tcPr>
            <w:tcW w:w="1354" w:type="dxa"/>
            <w:tcBorders>
              <w:top w:val="single" w:sz="4" w:space="0" w:color="8EA9DB"/>
              <w:left w:val="nil"/>
              <w:bottom w:val="single" w:sz="4" w:space="0" w:color="8EA9DB"/>
              <w:right w:val="nil"/>
            </w:tcBorders>
            <w:shd w:val="clear" w:color="auto" w:fill="auto"/>
            <w:noWrap/>
            <w:vAlign w:val="bottom"/>
            <w:hideMark/>
          </w:tcPr>
          <w:p w14:paraId="681E98F6" w14:textId="77777777" w:rsidR="003F7E1E" w:rsidRPr="004B569D" w:rsidRDefault="003F7E1E" w:rsidP="00250DA5">
            <w:pPr>
              <w:spacing w:after="0" w:line="240" w:lineRule="auto"/>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$34,227,656.40</w:t>
            </w:r>
          </w:p>
        </w:tc>
        <w:tc>
          <w:tcPr>
            <w:tcW w:w="1354" w:type="dxa"/>
            <w:tcBorders>
              <w:top w:val="single" w:sz="4" w:space="0" w:color="8EA9DB"/>
              <w:left w:val="nil"/>
              <w:bottom w:val="single" w:sz="4" w:space="0" w:color="8EA9DB"/>
              <w:right w:val="nil"/>
            </w:tcBorders>
            <w:shd w:val="clear" w:color="auto" w:fill="auto"/>
            <w:noWrap/>
            <w:vAlign w:val="bottom"/>
            <w:hideMark/>
          </w:tcPr>
          <w:p w14:paraId="78DEFB91" w14:textId="77777777" w:rsidR="003F7E1E" w:rsidRPr="004B569D" w:rsidRDefault="003F7E1E" w:rsidP="00250DA5">
            <w:pPr>
              <w:spacing w:after="0" w:line="240" w:lineRule="auto"/>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$27,605,013.84</w:t>
            </w:r>
          </w:p>
        </w:tc>
        <w:tc>
          <w:tcPr>
            <w:tcW w:w="1354" w:type="dxa"/>
            <w:tcBorders>
              <w:top w:val="single" w:sz="4" w:space="0" w:color="8EA9DB"/>
              <w:left w:val="nil"/>
              <w:bottom w:val="single" w:sz="4" w:space="0" w:color="8EA9DB"/>
              <w:right w:val="nil"/>
            </w:tcBorders>
            <w:shd w:val="clear" w:color="auto" w:fill="auto"/>
            <w:noWrap/>
            <w:vAlign w:val="bottom"/>
            <w:hideMark/>
          </w:tcPr>
          <w:p w14:paraId="1D65E097" w14:textId="77777777" w:rsidR="003F7E1E" w:rsidRPr="004B569D" w:rsidRDefault="003F7E1E" w:rsidP="00250DA5">
            <w:pPr>
              <w:spacing w:after="0" w:line="240" w:lineRule="auto"/>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$19,872,798.22</w:t>
            </w:r>
          </w:p>
        </w:tc>
        <w:tc>
          <w:tcPr>
            <w:tcW w:w="1354" w:type="dxa"/>
            <w:tcBorders>
              <w:top w:val="single" w:sz="4" w:space="0" w:color="8EA9DB"/>
              <w:left w:val="nil"/>
              <w:bottom w:val="single" w:sz="4" w:space="0" w:color="8EA9DB"/>
              <w:right w:val="nil"/>
            </w:tcBorders>
            <w:shd w:val="clear" w:color="auto" w:fill="auto"/>
            <w:noWrap/>
            <w:vAlign w:val="bottom"/>
            <w:hideMark/>
          </w:tcPr>
          <w:p w14:paraId="6865BE85" w14:textId="77777777" w:rsidR="003F7E1E" w:rsidRPr="004B569D" w:rsidRDefault="003F7E1E" w:rsidP="00250DA5">
            <w:pPr>
              <w:spacing w:after="0" w:line="240" w:lineRule="auto"/>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$18,215,436.42</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224AE0F7" w14:textId="77777777" w:rsidR="003F7E1E" w:rsidRPr="004B569D" w:rsidRDefault="003F7E1E" w:rsidP="00250DA5">
            <w:pPr>
              <w:spacing w:after="0" w:line="240" w:lineRule="auto"/>
              <w:rPr>
                <w:rFonts w:ascii="Times New Roman" w:eastAsia="Times New Roman" w:hAnsi="Times New Roman" w:cs="Times New Roman"/>
                <w:color w:val="000000"/>
                <w:sz w:val="18"/>
                <w:szCs w:val="18"/>
              </w:rPr>
            </w:pPr>
          </w:p>
        </w:tc>
      </w:tr>
      <w:tr w:rsidR="00581D82" w:rsidRPr="003A0A70" w14:paraId="6E8AC824" w14:textId="77777777" w:rsidTr="00250DA5">
        <w:trPr>
          <w:trHeight w:val="300"/>
        </w:trPr>
        <w:tc>
          <w:tcPr>
            <w:tcW w:w="1530" w:type="dxa"/>
            <w:tcBorders>
              <w:top w:val="nil"/>
              <w:left w:val="nil"/>
              <w:bottom w:val="nil"/>
              <w:right w:val="nil"/>
            </w:tcBorders>
            <w:shd w:val="clear" w:color="000000" w:fill="0070C0"/>
            <w:vAlign w:val="bottom"/>
            <w:hideMark/>
          </w:tcPr>
          <w:p w14:paraId="33A5C4D6" w14:textId="0BCEE798" w:rsidR="003F7E1E" w:rsidRPr="003A0A70" w:rsidRDefault="003F7E1E" w:rsidP="003F7E1E">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 xml:space="preserve">Price to Earnings Ratio </w:t>
            </w:r>
          </w:p>
        </w:tc>
        <w:tc>
          <w:tcPr>
            <w:tcW w:w="1354" w:type="dxa"/>
            <w:tcBorders>
              <w:top w:val="single" w:sz="4" w:space="0" w:color="8EA9DB"/>
              <w:left w:val="single" w:sz="4" w:space="0" w:color="8EA9DB"/>
              <w:bottom w:val="single" w:sz="4" w:space="0" w:color="8EA9DB"/>
              <w:right w:val="nil"/>
            </w:tcBorders>
            <w:shd w:val="clear" w:color="D9E1F2" w:fill="D9E1F2"/>
            <w:noWrap/>
            <w:vAlign w:val="bottom"/>
            <w:hideMark/>
          </w:tcPr>
          <w:p w14:paraId="797D2546"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$30.83</w:t>
            </w:r>
          </w:p>
        </w:tc>
        <w:tc>
          <w:tcPr>
            <w:tcW w:w="1354" w:type="dxa"/>
            <w:tcBorders>
              <w:top w:val="single" w:sz="4" w:space="0" w:color="8EA9DB"/>
              <w:left w:val="nil"/>
              <w:bottom w:val="single" w:sz="4" w:space="0" w:color="8EA9DB"/>
              <w:right w:val="nil"/>
            </w:tcBorders>
            <w:shd w:val="clear" w:color="D9E1F2" w:fill="D9E1F2"/>
            <w:noWrap/>
            <w:vAlign w:val="bottom"/>
            <w:hideMark/>
          </w:tcPr>
          <w:p w14:paraId="510BDEF9"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$33.45</w:t>
            </w:r>
          </w:p>
        </w:tc>
        <w:tc>
          <w:tcPr>
            <w:tcW w:w="1354" w:type="dxa"/>
            <w:tcBorders>
              <w:top w:val="single" w:sz="4" w:space="0" w:color="8EA9DB"/>
              <w:left w:val="nil"/>
              <w:bottom w:val="single" w:sz="4" w:space="0" w:color="8EA9DB"/>
              <w:right w:val="nil"/>
            </w:tcBorders>
            <w:shd w:val="clear" w:color="D9E1F2" w:fill="D9E1F2"/>
            <w:noWrap/>
            <w:vAlign w:val="bottom"/>
            <w:hideMark/>
          </w:tcPr>
          <w:p w14:paraId="4F75C9B4"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$29.06</w:t>
            </w:r>
          </w:p>
        </w:tc>
        <w:tc>
          <w:tcPr>
            <w:tcW w:w="1354" w:type="dxa"/>
            <w:tcBorders>
              <w:top w:val="single" w:sz="4" w:space="0" w:color="8EA9DB"/>
              <w:left w:val="nil"/>
              <w:bottom w:val="single" w:sz="4" w:space="0" w:color="8EA9DB"/>
              <w:right w:val="nil"/>
            </w:tcBorders>
            <w:shd w:val="clear" w:color="D9E1F2" w:fill="D9E1F2"/>
            <w:noWrap/>
            <w:vAlign w:val="bottom"/>
            <w:hideMark/>
          </w:tcPr>
          <w:p w14:paraId="74C7D0A9"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$18.89</w:t>
            </w:r>
          </w:p>
        </w:tc>
        <w:tc>
          <w:tcPr>
            <w:tcW w:w="1354" w:type="dxa"/>
            <w:tcBorders>
              <w:top w:val="single" w:sz="4" w:space="0" w:color="8EA9DB"/>
              <w:left w:val="nil"/>
              <w:bottom w:val="single" w:sz="4" w:space="0" w:color="8EA9DB"/>
              <w:right w:val="nil"/>
            </w:tcBorders>
            <w:shd w:val="clear" w:color="D9E1F2" w:fill="D9E1F2"/>
            <w:noWrap/>
            <w:vAlign w:val="bottom"/>
            <w:hideMark/>
          </w:tcPr>
          <w:p w14:paraId="309CCE2B"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$21.87</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0A9E1B52" w14:textId="77777777" w:rsidR="003F7E1E" w:rsidRPr="004B569D" w:rsidRDefault="003F7E1E" w:rsidP="00581D82">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$30.29</w:t>
            </w:r>
          </w:p>
        </w:tc>
      </w:tr>
    </w:tbl>
    <w:p w14:paraId="2F926209" w14:textId="77777777" w:rsidR="008D2EBD" w:rsidRPr="003A0A70" w:rsidRDefault="008D2EBD" w:rsidP="003F7E1E">
      <w:pPr>
        <w:rPr>
          <w:rFonts w:ascii="Times New Roman" w:hAnsi="Times New Roman" w:cs="Times New Roman"/>
          <w:color w:val="000000" w:themeColor="text1"/>
          <w:sz w:val="24"/>
          <w:szCs w:val="24"/>
        </w:rPr>
      </w:pPr>
    </w:p>
    <w:tbl>
      <w:tblPr>
        <w:tblW w:w="9360" w:type="dxa"/>
        <w:tblLook w:val="04A0" w:firstRow="1" w:lastRow="0" w:firstColumn="1" w:lastColumn="0" w:noHBand="0" w:noVBand="1"/>
      </w:tblPr>
      <w:tblGrid>
        <w:gridCol w:w="1563"/>
        <w:gridCol w:w="1354"/>
        <w:gridCol w:w="1354"/>
        <w:gridCol w:w="1354"/>
        <w:gridCol w:w="1354"/>
        <w:gridCol w:w="1354"/>
        <w:gridCol w:w="1027"/>
      </w:tblGrid>
      <w:tr w:rsidR="00AD528F" w:rsidRPr="003A0A70" w14:paraId="440C92CF" w14:textId="77777777" w:rsidTr="00250DA5">
        <w:trPr>
          <w:trHeight w:val="225"/>
        </w:trPr>
        <w:tc>
          <w:tcPr>
            <w:tcW w:w="9360" w:type="dxa"/>
            <w:gridSpan w:val="7"/>
            <w:tcBorders>
              <w:top w:val="nil"/>
              <w:left w:val="nil"/>
              <w:bottom w:val="nil"/>
              <w:right w:val="nil"/>
            </w:tcBorders>
            <w:shd w:val="clear" w:color="000000" w:fill="8EA9DB"/>
            <w:noWrap/>
            <w:vAlign w:val="bottom"/>
            <w:hideMark/>
          </w:tcPr>
          <w:p w14:paraId="4521FDA6" w14:textId="77777777" w:rsidR="00AD528F" w:rsidRPr="003A0A70" w:rsidRDefault="00AD528F" w:rsidP="00AD528F">
            <w:pPr>
              <w:spacing w:after="0" w:line="240" w:lineRule="auto"/>
              <w:jc w:val="center"/>
              <w:rPr>
                <w:rFonts w:ascii="Times New Roman" w:eastAsia="Times New Roman" w:hAnsi="Times New Roman" w:cs="Times New Roman"/>
                <w:b/>
                <w:bCs/>
                <w:color w:val="44546A"/>
                <w:sz w:val="24"/>
                <w:szCs w:val="24"/>
              </w:rPr>
            </w:pPr>
            <w:r w:rsidRPr="003A0A70">
              <w:rPr>
                <w:rFonts w:ascii="Times New Roman" w:eastAsia="Times New Roman" w:hAnsi="Times New Roman" w:cs="Times New Roman"/>
                <w:b/>
                <w:bCs/>
                <w:color w:val="44546A"/>
                <w:sz w:val="24"/>
                <w:szCs w:val="24"/>
              </w:rPr>
              <w:t>Activision Blizzard – Market Ratios</w:t>
            </w:r>
          </w:p>
        </w:tc>
      </w:tr>
      <w:tr w:rsidR="00AD528F" w:rsidRPr="003A0A70" w14:paraId="5AB236F8" w14:textId="77777777" w:rsidTr="00250DA5">
        <w:trPr>
          <w:trHeight w:val="300"/>
        </w:trPr>
        <w:tc>
          <w:tcPr>
            <w:tcW w:w="1563" w:type="dxa"/>
            <w:tcBorders>
              <w:top w:val="nil"/>
              <w:left w:val="nil"/>
              <w:bottom w:val="nil"/>
              <w:right w:val="nil"/>
            </w:tcBorders>
            <w:shd w:val="clear" w:color="000000" w:fill="4472C4"/>
            <w:noWrap/>
            <w:vAlign w:val="bottom"/>
            <w:hideMark/>
          </w:tcPr>
          <w:p w14:paraId="3168F04F" w14:textId="77777777" w:rsidR="00AD528F" w:rsidRPr="003A0A70" w:rsidRDefault="00AD528F" w:rsidP="00AD528F">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 xml:space="preserve"> </w:t>
            </w:r>
          </w:p>
        </w:tc>
        <w:tc>
          <w:tcPr>
            <w:tcW w:w="1354" w:type="dxa"/>
            <w:tcBorders>
              <w:top w:val="single" w:sz="4" w:space="0" w:color="8EA9DB"/>
              <w:left w:val="single" w:sz="4" w:space="0" w:color="8EA9DB"/>
              <w:bottom w:val="single" w:sz="4" w:space="0" w:color="8EA9DB"/>
              <w:right w:val="nil"/>
            </w:tcBorders>
            <w:shd w:val="clear" w:color="4472C4" w:fill="4472C4"/>
            <w:noWrap/>
            <w:vAlign w:val="bottom"/>
            <w:hideMark/>
          </w:tcPr>
          <w:p w14:paraId="21D7C9C3" w14:textId="77777777" w:rsidR="00AD528F" w:rsidRPr="004B569D" w:rsidRDefault="00AD528F" w:rsidP="00AD528F">
            <w:pPr>
              <w:spacing w:after="0" w:line="240" w:lineRule="auto"/>
              <w:jc w:val="center"/>
              <w:rPr>
                <w:rFonts w:ascii="Times New Roman" w:eastAsia="Times New Roman" w:hAnsi="Times New Roman" w:cs="Times New Roman"/>
                <w:b/>
                <w:bCs/>
                <w:color w:val="FFFFFF"/>
                <w:sz w:val="18"/>
                <w:szCs w:val="18"/>
              </w:rPr>
            </w:pPr>
            <w:r w:rsidRPr="004B569D">
              <w:rPr>
                <w:rFonts w:ascii="Times New Roman" w:eastAsia="Times New Roman" w:hAnsi="Times New Roman" w:cs="Times New Roman"/>
                <w:b/>
                <w:bCs/>
                <w:color w:val="FFFFFF"/>
                <w:sz w:val="18"/>
                <w:szCs w:val="18"/>
              </w:rPr>
              <w:t>2019</w:t>
            </w:r>
          </w:p>
        </w:tc>
        <w:tc>
          <w:tcPr>
            <w:tcW w:w="1354" w:type="dxa"/>
            <w:tcBorders>
              <w:top w:val="single" w:sz="4" w:space="0" w:color="8EA9DB"/>
              <w:left w:val="nil"/>
              <w:bottom w:val="single" w:sz="4" w:space="0" w:color="8EA9DB"/>
              <w:right w:val="nil"/>
            </w:tcBorders>
            <w:shd w:val="clear" w:color="4472C4" w:fill="4472C4"/>
            <w:noWrap/>
            <w:vAlign w:val="bottom"/>
            <w:hideMark/>
          </w:tcPr>
          <w:p w14:paraId="6E64071E" w14:textId="77777777" w:rsidR="00AD528F" w:rsidRPr="004B569D" w:rsidRDefault="00AD528F" w:rsidP="00AD528F">
            <w:pPr>
              <w:spacing w:after="0" w:line="240" w:lineRule="auto"/>
              <w:jc w:val="center"/>
              <w:rPr>
                <w:rFonts w:ascii="Times New Roman" w:eastAsia="Times New Roman" w:hAnsi="Times New Roman" w:cs="Times New Roman"/>
                <w:b/>
                <w:bCs/>
                <w:color w:val="FFFFFF"/>
                <w:sz w:val="18"/>
                <w:szCs w:val="18"/>
              </w:rPr>
            </w:pPr>
            <w:r w:rsidRPr="004B569D">
              <w:rPr>
                <w:rFonts w:ascii="Times New Roman" w:eastAsia="Times New Roman" w:hAnsi="Times New Roman" w:cs="Times New Roman"/>
                <w:b/>
                <w:bCs/>
                <w:color w:val="FFFFFF"/>
                <w:sz w:val="18"/>
                <w:szCs w:val="18"/>
              </w:rPr>
              <w:t>2018</w:t>
            </w:r>
          </w:p>
        </w:tc>
        <w:tc>
          <w:tcPr>
            <w:tcW w:w="1354" w:type="dxa"/>
            <w:tcBorders>
              <w:top w:val="single" w:sz="4" w:space="0" w:color="8EA9DB"/>
              <w:left w:val="nil"/>
              <w:bottom w:val="single" w:sz="4" w:space="0" w:color="8EA9DB"/>
              <w:right w:val="nil"/>
            </w:tcBorders>
            <w:shd w:val="clear" w:color="4472C4" w:fill="4472C4"/>
            <w:noWrap/>
            <w:vAlign w:val="bottom"/>
            <w:hideMark/>
          </w:tcPr>
          <w:p w14:paraId="0E71FC78" w14:textId="77777777" w:rsidR="00AD528F" w:rsidRPr="004B569D" w:rsidRDefault="00AD528F" w:rsidP="00AD528F">
            <w:pPr>
              <w:spacing w:after="0" w:line="240" w:lineRule="auto"/>
              <w:jc w:val="center"/>
              <w:rPr>
                <w:rFonts w:ascii="Times New Roman" w:eastAsia="Times New Roman" w:hAnsi="Times New Roman" w:cs="Times New Roman"/>
                <w:b/>
                <w:bCs/>
                <w:color w:val="FFFFFF"/>
                <w:sz w:val="18"/>
                <w:szCs w:val="18"/>
              </w:rPr>
            </w:pPr>
            <w:r w:rsidRPr="004B569D">
              <w:rPr>
                <w:rFonts w:ascii="Times New Roman" w:eastAsia="Times New Roman" w:hAnsi="Times New Roman" w:cs="Times New Roman"/>
                <w:b/>
                <w:bCs/>
                <w:color w:val="FFFFFF"/>
                <w:sz w:val="18"/>
                <w:szCs w:val="18"/>
              </w:rPr>
              <w:t>2017</w:t>
            </w:r>
          </w:p>
        </w:tc>
        <w:tc>
          <w:tcPr>
            <w:tcW w:w="1354" w:type="dxa"/>
            <w:tcBorders>
              <w:top w:val="single" w:sz="4" w:space="0" w:color="8EA9DB"/>
              <w:left w:val="nil"/>
              <w:bottom w:val="single" w:sz="4" w:space="0" w:color="8EA9DB"/>
              <w:right w:val="nil"/>
            </w:tcBorders>
            <w:shd w:val="clear" w:color="4472C4" w:fill="4472C4"/>
            <w:noWrap/>
            <w:vAlign w:val="bottom"/>
            <w:hideMark/>
          </w:tcPr>
          <w:p w14:paraId="45EF30BB" w14:textId="77777777" w:rsidR="00AD528F" w:rsidRPr="004B569D" w:rsidRDefault="00AD528F" w:rsidP="00AD528F">
            <w:pPr>
              <w:spacing w:after="0" w:line="240" w:lineRule="auto"/>
              <w:jc w:val="center"/>
              <w:rPr>
                <w:rFonts w:ascii="Times New Roman" w:eastAsia="Times New Roman" w:hAnsi="Times New Roman" w:cs="Times New Roman"/>
                <w:b/>
                <w:bCs/>
                <w:color w:val="FFFFFF"/>
                <w:sz w:val="18"/>
                <w:szCs w:val="18"/>
              </w:rPr>
            </w:pPr>
            <w:r w:rsidRPr="004B569D">
              <w:rPr>
                <w:rFonts w:ascii="Times New Roman" w:eastAsia="Times New Roman" w:hAnsi="Times New Roman" w:cs="Times New Roman"/>
                <w:b/>
                <w:bCs/>
                <w:color w:val="FFFFFF"/>
                <w:sz w:val="18"/>
                <w:szCs w:val="18"/>
              </w:rPr>
              <w:t>2016</w:t>
            </w:r>
          </w:p>
        </w:tc>
        <w:tc>
          <w:tcPr>
            <w:tcW w:w="1354" w:type="dxa"/>
            <w:tcBorders>
              <w:top w:val="single" w:sz="4" w:space="0" w:color="8EA9DB"/>
              <w:left w:val="nil"/>
              <w:bottom w:val="single" w:sz="4" w:space="0" w:color="8EA9DB"/>
              <w:right w:val="nil"/>
            </w:tcBorders>
            <w:shd w:val="clear" w:color="4472C4" w:fill="4472C4"/>
            <w:noWrap/>
            <w:vAlign w:val="bottom"/>
            <w:hideMark/>
          </w:tcPr>
          <w:p w14:paraId="042D4510" w14:textId="77777777" w:rsidR="00AD528F" w:rsidRPr="004B569D" w:rsidRDefault="00AD528F" w:rsidP="00AD528F">
            <w:pPr>
              <w:spacing w:after="0" w:line="240" w:lineRule="auto"/>
              <w:jc w:val="center"/>
              <w:rPr>
                <w:rFonts w:ascii="Times New Roman" w:eastAsia="Times New Roman" w:hAnsi="Times New Roman" w:cs="Times New Roman"/>
                <w:b/>
                <w:bCs/>
                <w:color w:val="FFFFFF"/>
                <w:sz w:val="18"/>
                <w:szCs w:val="18"/>
              </w:rPr>
            </w:pPr>
            <w:r w:rsidRPr="004B569D">
              <w:rPr>
                <w:rFonts w:ascii="Times New Roman" w:eastAsia="Times New Roman" w:hAnsi="Times New Roman" w:cs="Times New Roman"/>
                <w:b/>
                <w:bCs/>
                <w:color w:val="FFFFFF"/>
                <w:sz w:val="18"/>
                <w:szCs w:val="18"/>
              </w:rPr>
              <w:t>2015</w:t>
            </w:r>
          </w:p>
        </w:tc>
        <w:tc>
          <w:tcPr>
            <w:tcW w:w="1027" w:type="dxa"/>
            <w:tcBorders>
              <w:top w:val="single" w:sz="4" w:space="0" w:color="8EA9DB"/>
              <w:left w:val="nil"/>
              <w:bottom w:val="single" w:sz="4" w:space="0" w:color="8EA9DB"/>
              <w:right w:val="single" w:sz="4" w:space="0" w:color="8EA9DB"/>
            </w:tcBorders>
            <w:shd w:val="clear" w:color="4472C4" w:fill="4472C4"/>
            <w:noWrap/>
            <w:vAlign w:val="bottom"/>
            <w:hideMark/>
          </w:tcPr>
          <w:p w14:paraId="57BF2318" w14:textId="77777777" w:rsidR="00AD528F" w:rsidRPr="004B569D" w:rsidRDefault="00AD528F" w:rsidP="00AD528F">
            <w:pPr>
              <w:spacing w:after="0" w:line="240" w:lineRule="auto"/>
              <w:jc w:val="center"/>
              <w:rPr>
                <w:rFonts w:ascii="Times New Roman" w:eastAsia="Times New Roman" w:hAnsi="Times New Roman" w:cs="Times New Roman"/>
                <w:b/>
                <w:bCs/>
                <w:color w:val="FFFFFF"/>
                <w:sz w:val="18"/>
                <w:szCs w:val="18"/>
              </w:rPr>
            </w:pPr>
            <w:r w:rsidRPr="004B569D">
              <w:rPr>
                <w:rFonts w:ascii="Times New Roman" w:eastAsia="Times New Roman" w:hAnsi="Times New Roman" w:cs="Times New Roman"/>
                <w:b/>
                <w:bCs/>
                <w:color w:val="FFFFFF"/>
                <w:sz w:val="18"/>
                <w:szCs w:val="18"/>
              </w:rPr>
              <w:t>Industry Average</w:t>
            </w:r>
          </w:p>
        </w:tc>
      </w:tr>
      <w:tr w:rsidR="00AD528F" w:rsidRPr="003A0A70" w14:paraId="0AB58374" w14:textId="77777777" w:rsidTr="00250DA5">
        <w:trPr>
          <w:trHeight w:val="300"/>
        </w:trPr>
        <w:tc>
          <w:tcPr>
            <w:tcW w:w="1563" w:type="dxa"/>
            <w:tcBorders>
              <w:top w:val="nil"/>
              <w:left w:val="nil"/>
              <w:bottom w:val="nil"/>
              <w:right w:val="nil"/>
            </w:tcBorders>
            <w:shd w:val="clear" w:color="000000" w:fill="0070C0"/>
            <w:noWrap/>
            <w:vAlign w:val="bottom"/>
            <w:hideMark/>
          </w:tcPr>
          <w:p w14:paraId="01F3AD7A" w14:textId="77777777" w:rsidR="00AD528F" w:rsidRPr="003A0A70" w:rsidRDefault="00AD528F" w:rsidP="00AD528F">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 xml:space="preserve">Market Price per Share </w:t>
            </w:r>
          </w:p>
        </w:tc>
        <w:tc>
          <w:tcPr>
            <w:tcW w:w="1354" w:type="dxa"/>
            <w:tcBorders>
              <w:top w:val="single" w:sz="4" w:space="0" w:color="8EA9DB"/>
              <w:left w:val="single" w:sz="4" w:space="0" w:color="8EA9DB"/>
              <w:bottom w:val="single" w:sz="4" w:space="0" w:color="8EA9DB"/>
              <w:right w:val="nil"/>
            </w:tcBorders>
            <w:shd w:val="clear" w:color="D9E1F2" w:fill="D9E1F2"/>
            <w:noWrap/>
            <w:vAlign w:val="bottom"/>
            <w:hideMark/>
          </w:tcPr>
          <w:p w14:paraId="7C52CB94"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$59.42</w:t>
            </w:r>
          </w:p>
        </w:tc>
        <w:tc>
          <w:tcPr>
            <w:tcW w:w="1354" w:type="dxa"/>
            <w:tcBorders>
              <w:top w:val="single" w:sz="4" w:space="0" w:color="8EA9DB"/>
              <w:left w:val="nil"/>
              <w:bottom w:val="single" w:sz="4" w:space="0" w:color="8EA9DB"/>
              <w:right w:val="nil"/>
            </w:tcBorders>
            <w:shd w:val="clear" w:color="D9E1F2" w:fill="D9E1F2"/>
            <w:noWrap/>
            <w:vAlign w:val="bottom"/>
            <w:hideMark/>
          </w:tcPr>
          <w:p w14:paraId="0F58D7B2"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$46.20</w:t>
            </w:r>
          </w:p>
        </w:tc>
        <w:tc>
          <w:tcPr>
            <w:tcW w:w="1354" w:type="dxa"/>
            <w:tcBorders>
              <w:top w:val="single" w:sz="4" w:space="0" w:color="8EA9DB"/>
              <w:left w:val="nil"/>
              <w:bottom w:val="single" w:sz="4" w:space="0" w:color="8EA9DB"/>
              <w:right w:val="nil"/>
            </w:tcBorders>
            <w:shd w:val="clear" w:color="D9E1F2" w:fill="D9E1F2"/>
            <w:noWrap/>
            <w:vAlign w:val="bottom"/>
            <w:hideMark/>
          </w:tcPr>
          <w:p w14:paraId="5E57737F"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$62.49</w:t>
            </w:r>
          </w:p>
        </w:tc>
        <w:tc>
          <w:tcPr>
            <w:tcW w:w="1354" w:type="dxa"/>
            <w:tcBorders>
              <w:top w:val="single" w:sz="4" w:space="0" w:color="8EA9DB"/>
              <w:left w:val="nil"/>
              <w:bottom w:val="single" w:sz="4" w:space="0" w:color="8EA9DB"/>
              <w:right w:val="nil"/>
            </w:tcBorders>
            <w:shd w:val="clear" w:color="D9E1F2" w:fill="D9E1F2"/>
            <w:noWrap/>
            <w:vAlign w:val="bottom"/>
            <w:hideMark/>
          </w:tcPr>
          <w:p w14:paraId="5BF6B2F1"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$35.42</w:t>
            </w:r>
          </w:p>
        </w:tc>
        <w:tc>
          <w:tcPr>
            <w:tcW w:w="1354" w:type="dxa"/>
            <w:tcBorders>
              <w:top w:val="single" w:sz="4" w:space="0" w:color="8EA9DB"/>
              <w:left w:val="nil"/>
              <w:bottom w:val="single" w:sz="4" w:space="0" w:color="8EA9DB"/>
              <w:right w:val="nil"/>
            </w:tcBorders>
            <w:shd w:val="clear" w:color="D9E1F2" w:fill="D9E1F2"/>
            <w:noWrap/>
            <w:vAlign w:val="bottom"/>
            <w:hideMark/>
          </w:tcPr>
          <w:p w14:paraId="223B9F4B"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$37.67</w:t>
            </w:r>
          </w:p>
        </w:tc>
        <w:tc>
          <w:tcPr>
            <w:tcW w:w="1027" w:type="dxa"/>
            <w:tcBorders>
              <w:top w:val="single" w:sz="4" w:space="0" w:color="8EA9DB"/>
              <w:left w:val="nil"/>
              <w:bottom w:val="single" w:sz="4" w:space="0" w:color="8EA9DB"/>
              <w:right w:val="single" w:sz="4" w:space="0" w:color="8EA9DB"/>
            </w:tcBorders>
            <w:shd w:val="clear" w:color="D9E1F2" w:fill="D9E1F2"/>
            <w:noWrap/>
            <w:vAlign w:val="bottom"/>
            <w:hideMark/>
          </w:tcPr>
          <w:p w14:paraId="645ACE9F"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p>
        </w:tc>
      </w:tr>
      <w:tr w:rsidR="00AD528F" w:rsidRPr="003A0A70" w14:paraId="4F72EF96" w14:textId="77777777" w:rsidTr="00250DA5">
        <w:trPr>
          <w:trHeight w:val="300"/>
        </w:trPr>
        <w:tc>
          <w:tcPr>
            <w:tcW w:w="1563" w:type="dxa"/>
            <w:tcBorders>
              <w:top w:val="nil"/>
              <w:left w:val="nil"/>
              <w:bottom w:val="nil"/>
              <w:right w:val="nil"/>
            </w:tcBorders>
            <w:shd w:val="clear" w:color="000000" w:fill="0070C0"/>
            <w:noWrap/>
            <w:vAlign w:val="bottom"/>
            <w:hideMark/>
          </w:tcPr>
          <w:p w14:paraId="7080BCE0" w14:textId="77777777" w:rsidR="00AD528F" w:rsidRPr="003A0A70" w:rsidRDefault="00AD528F" w:rsidP="00AD528F">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 xml:space="preserve">Book price per share </w:t>
            </w:r>
          </w:p>
        </w:tc>
        <w:tc>
          <w:tcPr>
            <w:tcW w:w="1354" w:type="dxa"/>
            <w:tcBorders>
              <w:top w:val="single" w:sz="4" w:space="0" w:color="8EA9DB"/>
              <w:left w:val="single" w:sz="4" w:space="0" w:color="8EA9DB"/>
              <w:bottom w:val="single" w:sz="4" w:space="0" w:color="8EA9DB"/>
              <w:right w:val="nil"/>
            </w:tcBorders>
            <w:shd w:val="clear" w:color="auto" w:fill="auto"/>
            <w:noWrap/>
            <w:vAlign w:val="bottom"/>
            <w:hideMark/>
          </w:tcPr>
          <w:p w14:paraId="15DABF02"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$16.66</w:t>
            </w:r>
          </w:p>
        </w:tc>
        <w:tc>
          <w:tcPr>
            <w:tcW w:w="1354" w:type="dxa"/>
            <w:tcBorders>
              <w:top w:val="single" w:sz="4" w:space="0" w:color="8EA9DB"/>
              <w:left w:val="nil"/>
              <w:bottom w:val="single" w:sz="4" w:space="0" w:color="8EA9DB"/>
              <w:right w:val="nil"/>
            </w:tcBorders>
            <w:shd w:val="clear" w:color="auto" w:fill="auto"/>
            <w:noWrap/>
            <w:vAlign w:val="bottom"/>
            <w:hideMark/>
          </w:tcPr>
          <w:p w14:paraId="03DE7D48"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$14.88</w:t>
            </w:r>
          </w:p>
        </w:tc>
        <w:tc>
          <w:tcPr>
            <w:tcW w:w="1354" w:type="dxa"/>
            <w:tcBorders>
              <w:top w:val="single" w:sz="4" w:space="0" w:color="8EA9DB"/>
              <w:left w:val="nil"/>
              <w:bottom w:val="single" w:sz="4" w:space="0" w:color="8EA9DB"/>
              <w:right w:val="nil"/>
            </w:tcBorders>
            <w:shd w:val="clear" w:color="auto" w:fill="auto"/>
            <w:noWrap/>
            <w:vAlign w:val="bottom"/>
            <w:hideMark/>
          </w:tcPr>
          <w:p w14:paraId="0978E690"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$12.49</w:t>
            </w:r>
          </w:p>
        </w:tc>
        <w:tc>
          <w:tcPr>
            <w:tcW w:w="1354" w:type="dxa"/>
            <w:tcBorders>
              <w:top w:val="single" w:sz="4" w:space="0" w:color="8EA9DB"/>
              <w:left w:val="nil"/>
              <w:bottom w:val="single" w:sz="4" w:space="0" w:color="8EA9DB"/>
              <w:right w:val="nil"/>
            </w:tcBorders>
            <w:shd w:val="clear" w:color="auto" w:fill="auto"/>
            <w:noWrap/>
            <w:vAlign w:val="bottom"/>
            <w:hideMark/>
          </w:tcPr>
          <w:p w14:paraId="7E31C6A6"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$12.23</w:t>
            </w:r>
          </w:p>
        </w:tc>
        <w:tc>
          <w:tcPr>
            <w:tcW w:w="1354" w:type="dxa"/>
            <w:tcBorders>
              <w:top w:val="single" w:sz="4" w:space="0" w:color="8EA9DB"/>
              <w:left w:val="nil"/>
              <w:bottom w:val="single" w:sz="4" w:space="0" w:color="8EA9DB"/>
              <w:right w:val="nil"/>
            </w:tcBorders>
            <w:shd w:val="clear" w:color="auto" w:fill="auto"/>
            <w:noWrap/>
            <w:vAlign w:val="bottom"/>
            <w:hideMark/>
          </w:tcPr>
          <w:p w14:paraId="569ED22D"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$10.98</w:t>
            </w:r>
          </w:p>
        </w:tc>
        <w:tc>
          <w:tcPr>
            <w:tcW w:w="1027" w:type="dxa"/>
            <w:tcBorders>
              <w:top w:val="single" w:sz="4" w:space="0" w:color="8EA9DB"/>
              <w:left w:val="nil"/>
              <w:bottom w:val="single" w:sz="4" w:space="0" w:color="8EA9DB"/>
              <w:right w:val="single" w:sz="4" w:space="0" w:color="8EA9DB"/>
            </w:tcBorders>
            <w:shd w:val="clear" w:color="auto" w:fill="auto"/>
            <w:noWrap/>
            <w:vAlign w:val="bottom"/>
            <w:hideMark/>
          </w:tcPr>
          <w:p w14:paraId="25F1FC90"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$2.63</w:t>
            </w:r>
          </w:p>
        </w:tc>
      </w:tr>
      <w:tr w:rsidR="00AD528F" w:rsidRPr="003A0A70" w14:paraId="2DCF6D76" w14:textId="77777777" w:rsidTr="00250DA5">
        <w:trPr>
          <w:trHeight w:val="300"/>
        </w:trPr>
        <w:tc>
          <w:tcPr>
            <w:tcW w:w="1563" w:type="dxa"/>
            <w:tcBorders>
              <w:top w:val="nil"/>
              <w:left w:val="nil"/>
              <w:bottom w:val="nil"/>
              <w:right w:val="nil"/>
            </w:tcBorders>
            <w:shd w:val="clear" w:color="000000" w:fill="0070C0"/>
            <w:noWrap/>
            <w:vAlign w:val="bottom"/>
            <w:hideMark/>
          </w:tcPr>
          <w:p w14:paraId="075E2E14" w14:textId="77777777" w:rsidR="00AD528F" w:rsidRPr="003A0A70" w:rsidRDefault="00AD528F" w:rsidP="00AD528F">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Market to Book ratio</w:t>
            </w:r>
          </w:p>
        </w:tc>
        <w:tc>
          <w:tcPr>
            <w:tcW w:w="1354" w:type="dxa"/>
            <w:tcBorders>
              <w:top w:val="single" w:sz="4" w:space="0" w:color="8EA9DB"/>
              <w:left w:val="single" w:sz="4" w:space="0" w:color="8EA9DB"/>
              <w:bottom w:val="single" w:sz="4" w:space="0" w:color="8EA9DB"/>
              <w:right w:val="nil"/>
            </w:tcBorders>
            <w:shd w:val="clear" w:color="D9E1F2" w:fill="D9E1F2"/>
            <w:noWrap/>
            <w:vAlign w:val="bottom"/>
            <w:hideMark/>
          </w:tcPr>
          <w:p w14:paraId="431A6DE9"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$3.57</w:t>
            </w:r>
          </w:p>
        </w:tc>
        <w:tc>
          <w:tcPr>
            <w:tcW w:w="1354" w:type="dxa"/>
            <w:tcBorders>
              <w:top w:val="single" w:sz="4" w:space="0" w:color="8EA9DB"/>
              <w:left w:val="nil"/>
              <w:bottom w:val="single" w:sz="4" w:space="0" w:color="8EA9DB"/>
              <w:right w:val="nil"/>
            </w:tcBorders>
            <w:shd w:val="clear" w:color="D9E1F2" w:fill="D9E1F2"/>
            <w:noWrap/>
            <w:vAlign w:val="bottom"/>
            <w:hideMark/>
          </w:tcPr>
          <w:p w14:paraId="67F769C5"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$3.11</w:t>
            </w:r>
          </w:p>
        </w:tc>
        <w:tc>
          <w:tcPr>
            <w:tcW w:w="1354" w:type="dxa"/>
            <w:tcBorders>
              <w:top w:val="single" w:sz="4" w:space="0" w:color="8EA9DB"/>
              <w:left w:val="nil"/>
              <w:bottom w:val="single" w:sz="4" w:space="0" w:color="8EA9DB"/>
              <w:right w:val="nil"/>
            </w:tcBorders>
            <w:shd w:val="clear" w:color="D9E1F2" w:fill="D9E1F2"/>
            <w:noWrap/>
            <w:vAlign w:val="bottom"/>
            <w:hideMark/>
          </w:tcPr>
          <w:p w14:paraId="19A19A83"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$5.00</w:t>
            </w:r>
          </w:p>
        </w:tc>
        <w:tc>
          <w:tcPr>
            <w:tcW w:w="1354" w:type="dxa"/>
            <w:tcBorders>
              <w:top w:val="single" w:sz="4" w:space="0" w:color="8EA9DB"/>
              <w:left w:val="nil"/>
              <w:bottom w:val="single" w:sz="4" w:space="0" w:color="8EA9DB"/>
              <w:right w:val="nil"/>
            </w:tcBorders>
            <w:shd w:val="clear" w:color="D9E1F2" w:fill="D9E1F2"/>
            <w:noWrap/>
            <w:vAlign w:val="bottom"/>
            <w:hideMark/>
          </w:tcPr>
          <w:p w14:paraId="67B1554D"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$2.90</w:t>
            </w:r>
          </w:p>
        </w:tc>
        <w:tc>
          <w:tcPr>
            <w:tcW w:w="1354" w:type="dxa"/>
            <w:tcBorders>
              <w:top w:val="single" w:sz="4" w:space="0" w:color="8EA9DB"/>
              <w:left w:val="nil"/>
              <w:bottom w:val="single" w:sz="4" w:space="0" w:color="8EA9DB"/>
              <w:right w:val="nil"/>
            </w:tcBorders>
            <w:shd w:val="clear" w:color="D9E1F2" w:fill="D9E1F2"/>
            <w:noWrap/>
            <w:vAlign w:val="bottom"/>
            <w:hideMark/>
          </w:tcPr>
          <w:p w14:paraId="19225047"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$3.43</w:t>
            </w:r>
          </w:p>
        </w:tc>
        <w:tc>
          <w:tcPr>
            <w:tcW w:w="1027" w:type="dxa"/>
            <w:tcBorders>
              <w:top w:val="single" w:sz="4" w:space="0" w:color="8EA9DB"/>
              <w:left w:val="nil"/>
              <w:bottom w:val="single" w:sz="4" w:space="0" w:color="8EA9DB"/>
              <w:right w:val="single" w:sz="4" w:space="0" w:color="8EA9DB"/>
            </w:tcBorders>
            <w:shd w:val="clear" w:color="D9E1F2" w:fill="D9E1F2"/>
            <w:noWrap/>
            <w:vAlign w:val="bottom"/>
            <w:hideMark/>
          </w:tcPr>
          <w:p w14:paraId="546E7D72"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$5.42</w:t>
            </w:r>
          </w:p>
        </w:tc>
      </w:tr>
      <w:tr w:rsidR="00AD528F" w:rsidRPr="003A0A70" w14:paraId="2C332617" w14:textId="77777777" w:rsidTr="00250DA5">
        <w:trPr>
          <w:trHeight w:val="300"/>
        </w:trPr>
        <w:tc>
          <w:tcPr>
            <w:tcW w:w="1563" w:type="dxa"/>
            <w:tcBorders>
              <w:top w:val="nil"/>
              <w:left w:val="nil"/>
              <w:bottom w:val="nil"/>
              <w:right w:val="nil"/>
            </w:tcBorders>
            <w:shd w:val="clear" w:color="000000" w:fill="0070C0"/>
            <w:noWrap/>
            <w:vAlign w:val="bottom"/>
            <w:hideMark/>
          </w:tcPr>
          <w:p w14:paraId="09A702B1" w14:textId="1B80FFB1" w:rsidR="00AD528F" w:rsidRPr="003A0A70" w:rsidRDefault="00AD528F" w:rsidP="00AD528F">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 xml:space="preserve">Market </w:t>
            </w:r>
            <w:r w:rsidR="00C94EBA" w:rsidRPr="003A0A70">
              <w:rPr>
                <w:rFonts w:ascii="Times New Roman" w:eastAsia="Times New Roman" w:hAnsi="Times New Roman" w:cs="Times New Roman"/>
                <w:color w:val="FFFFFF"/>
                <w:sz w:val="24"/>
                <w:szCs w:val="24"/>
              </w:rPr>
              <w:t>capitalization</w:t>
            </w:r>
            <w:r w:rsidRPr="003A0A70">
              <w:rPr>
                <w:rFonts w:ascii="Times New Roman" w:eastAsia="Times New Roman" w:hAnsi="Times New Roman" w:cs="Times New Roman"/>
                <w:color w:val="FFFFFF"/>
                <w:sz w:val="24"/>
                <w:szCs w:val="24"/>
              </w:rPr>
              <w:t xml:space="preserve"> </w:t>
            </w:r>
          </w:p>
        </w:tc>
        <w:tc>
          <w:tcPr>
            <w:tcW w:w="1354" w:type="dxa"/>
            <w:tcBorders>
              <w:top w:val="single" w:sz="4" w:space="0" w:color="8EA9DB"/>
              <w:left w:val="single" w:sz="4" w:space="0" w:color="8EA9DB"/>
              <w:bottom w:val="single" w:sz="4" w:space="0" w:color="8EA9DB"/>
              <w:right w:val="nil"/>
            </w:tcBorders>
            <w:shd w:val="clear" w:color="auto" w:fill="auto"/>
            <w:noWrap/>
            <w:vAlign w:val="bottom"/>
            <w:hideMark/>
          </w:tcPr>
          <w:p w14:paraId="671EE3F7"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$45,679,729.48</w:t>
            </w:r>
          </w:p>
        </w:tc>
        <w:tc>
          <w:tcPr>
            <w:tcW w:w="1354" w:type="dxa"/>
            <w:tcBorders>
              <w:top w:val="single" w:sz="4" w:space="0" w:color="8EA9DB"/>
              <w:left w:val="nil"/>
              <w:bottom w:val="single" w:sz="4" w:space="0" w:color="8EA9DB"/>
              <w:right w:val="nil"/>
            </w:tcBorders>
            <w:shd w:val="clear" w:color="auto" w:fill="auto"/>
            <w:noWrap/>
            <w:vAlign w:val="bottom"/>
            <w:hideMark/>
          </w:tcPr>
          <w:p w14:paraId="271C6641"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$35,269,889.42</w:t>
            </w:r>
          </w:p>
        </w:tc>
        <w:tc>
          <w:tcPr>
            <w:tcW w:w="1354" w:type="dxa"/>
            <w:tcBorders>
              <w:top w:val="single" w:sz="4" w:space="0" w:color="8EA9DB"/>
              <w:left w:val="nil"/>
              <w:bottom w:val="single" w:sz="4" w:space="0" w:color="8EA9DB"/>
              <w:right w:val="nil"/>
            </w:tcBorders>
            <w:shd w:val="clear" w:color="auto" w:fill="auto"/>
            <w:noWrap/>
            <w:vAlign w:val="bottom"/>
            <w:hideMark/>
          </w:tcPr>
          <w:p w14:paraId="078B9832"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$47,336,499.64</w:t>
            </w:r>
          </w:p>
        </w:tc>
        <w:tc>
          <w:tcPr>
            <w:tcW w:w="1354" w:type="dxa"/>
            <w:tcBorders>
              <w:top w:val="single" w:sz="4" w:space="0" w:color="8EA9DB"/>
              <w:left w:val="nil"/>
              <w:bottom w:val="single" w:sz="4" w:space="0" w:color="8EA9DB"/>
              <w:right w:val="nil"/>
            </w:tcBorders>
            <w:shd w:val="clear" w:color="auto" w:fill="auto"/>
            <w:noWrap/>
            <w:vAlign w:val="bottom"/>
            <w:hideMark/>
          </w:tcPr>
          <w:p w14:paraId="115A5BB5"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$26,405,135.30</w:t>
            </w:r>
          </w:p>
        </w:tc>
        <w:tc>
          <w:tcPr>
            <w:tcW w:w="1354" w:type="dxa"/>
            <w:tcBorders>
              <w:top w:val="single" w:sz="4" w:space="0" w:color="8EA9DB"/>
              <w:left w:val="nil"/>
              <w:bottom w:val="single" w:sz="4" w:space="0" w:color="8EA9DB"/>
              <w:right w:val="nil"/>
            </w:tcBorders>
            <w:shd w:val="clear" w:color="auto" w:fill="auto"/>
            <w:noWrap/>
            <w:vAlign w:val="bottom"/>
            <w:hideMark/>
          </w:tcPr>
          <w:p w14:paraId="527CE24E"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$27,668,715.54</w:t>
            </w:r>
          </w:p>
        </w:tc>
        <w:tc>
          <w:tcPr>
            <w:tcW w:w="1027" w:type="dxa"/>
            <w:tcBorders>
              <w:top w:val="single" w:sz="4" w:space="0" w:color="8EA9DB"/>
              <w:left w:val="nil"/>
              <w:bottom w:val="single" w:sz="4" w:space="0" w:color="8EA9DB"/>
              <w:right w:val="single" w:sz="4" w:space="0" w:color="8EA9DB"/>
            </w:tcBorders>
            <w:shd w:val="clear" w:color="auto" w:fill="auto"/>
            <w:noWrap/>
            <w:vAlign w:val="bottom"/>
            <w:hideMark/>
          </w:tcPr>
          <w:p w14:paraId="1C02A2FB"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p>
        </w:tc>
      </w:tr>
      <w:tr w:rsidR="00AD528F" w:rsidRPr="003A0A70" w14:paraId="6A6E0F72" w14:textId="77777777" w:rsidTr="00250DA5">
        <w:trPr>
          <w:trHeight w:val="300"/>
        </w:trPr>
        <w:tc>
          <w:tcPr>
            <w:tcW w:w="1563" w:type="dxa"/>
            <w:tcBorders>
              <w:top w:val="nil"/>
              <w:left w:val="nil"/>
              <w:bottom w:val="nil"/>
              <w:right w:val="nil"/>
            </w:tcBorders>
            <w:shd w:val="clear" w:color="000000" w:fill="0070C0"/>
            <w:noWrap/>
            <w:vAlign w:val="bottom"/>
            <w:hideMark/>
          </w:tcPr>
          <w:p w14:paraId="41490EF5" w14:textId="1B976EC3" w:rsidR="00AD528F" w:rsidRPr="003A0A70" w:rsidRDefault="00AD528F" w:rsidP="00AD528F">
            <w:pPr>
              <w:spacing w:after="0" w:line="240" w:lineRule="auto"/>
              <w:rPr>
                <w:rFonts w:ascii="Times New Roman" w:eastAsia="Times New Roman" w:hAnsi="Times New Roman" w:cs="Times New Roman"/>
                <w:color w:val="FFFFFF"/>
                <w:sz w:val="24"/>
                <w:szCs w:val="24"/>
              </w:rPr>
            </w:pPr>
            <w:r w:rsidRPr="003A0A70">
              <w:rPr>
                <w:rFonts w:ascii="Times New Roman" w:eastAsia="Times New Roman" w:hAnsi="Times New Roman" w:cs="Times New Roman"/>
                <w:color w:val="FFFFFF"/>
                <w:sz w:val="24"/>
                <w:szCs w:val="24"/>
              </w:rPr>
              <w:t xml:space="preserve">Price to Earnings Ratio </w:t>
            </w:r>
          </w:p>
        </w:tc>
        <w:tc>
          <w:tcPr>
            <w:tcW w:w="1354" w:type="dxa"/>
            <w:tcBorders>
              <w:top w:val="single" w:sz="4" w:space="0" w:color="8EA9DB"/>
              <w:left w:val="single" w:sz="4" w:space="0" w:color="8EA9DB"/>
              <w:bottom w:val="single" w:sz="4" w:space="0" w:color="8EA9DB"/>
              <w:right w:val="nil"/>
            </w:tcBorders>
            <w:shd w:val="clear" w:color="D9E1F2" w:fill="D9E1F2"/>
            <w:noWrap/>
            <w:vAlign w:val="bottom"/>
            <w:hideMark/>
          </w:tcPr>
          <w:p w14:paraId="2ACF953D"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$30.47</w:t>
            </w:r>
          </w:p>
        </w:tc>
        <w:tc>
          <w:tcPr>
            <w:tcW w:w="1354" w:type="dxa"/>
            <w:tcBorders>
              <w:top w:val="single" w:sz="4" w:space="0" w:color="8EA9DB"/>
              <w:left w:val="nil"/>
              <w:bottom w:val="single" w:sz="4" w:space="0" w:color="8EA9DB"/>
              <w:right w:val="nil"/>
            </w:tcBorders>
            <w:shd w:val="clear" w:color="D9E1F2" w:fill="D9E1F2"/>
            <w:noWrap/>
            <w:vAlign w:val="bottom"/>
            <w:hideMark/>
          </w:tcPr>
          <w:p w14:paraId="789CFC87"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$19.66</w:t>
            </w:r>
          </w:p>
        </w:tc>
        <w:tc>
          <w:tcPr>
            <w:tcW w:w="1354" w:type="dxa"/>
            <w:tcBorders>
              <w:top w:val="single" w:sz="4" w:space="0" w:color="8EA9DB"/>
              <w:left w:val="nil"/>
              <w:bottom w:val="single" w:sz="4" w:space="0" w:color="8EA9DB"/>
              <w:right w:val="nil"/>
            </w:tcBorders>
            <w:shd w:val="clear" w:color="D9E1F2" w:fill="D9E1F2"/>
            <w:noWrap/>
            <w:vAlign w:val="bottom"/>
            <w:hideMark/>
          </w:tcPr>
          <w:p w14:paraId="3990D02A"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$173.58</w:t>
            </w:r>
          </w:p>
        </w:tc>
        <w:tc>
          <w:tcPr>
            <w:tcW w:w="1354" w:type="dxa"/>
            <w:tcBorders>
              <w:top w:val="single" w:sz="4" w:space="0" w:color="8EA9DB"/>
              <w:left w:val="nil"/>
              <w:bottom w:val="single" w:sz="4" w:space="0" w:color="8EA9DB"/>
              <w:right w:val="nil"/>
            </w:tcBorders>
            <w:shd w:val="clear" w:color="D9E1F2" w:fill="D9E1F2"/>
            <w:noWrap/>
            <w:vAlign w:val="bottom"/>
            <w:hideMark/>
          </w:tcPr>
          <w:p w14:paraId="038E9E53"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$27.67</w:t>
            </w:r>
          </w:p>
        </w:tc>
        <w:tc>
          <w:tcPr>
            <w:tcW w:w="1354" w:type="dxa"/>
            <w:tcBorders>
              <w:top w:val="single" w:sz="4" w:space="0" w:color="8EA9DB"/>
              <w:left w:val="nil"/>
              <w:bottom w:val="single" w:sz="4" w:space="0" w:color="8EA9DB"/>
              <w:right w:val="nil"/>
            </w:tcBorders>
            <w:shd w:val="clear" w:color="D9E1F2" w:fill="D9E1F2"/>
            <w:noWrap/>
            <w:vAlign w:val="bottom"/>
            <w:hideMark/>
          </w:tcPr>
          <w:p w14:paraId="115C7912"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$31.66</w:t>
            </w:r>
          </w:p>
        </w:tc>
        <w:tc>
          <w:tcPr>
            <w:tcW w:w="1027" w:type="dxa"/>
            <w:tcBorders>
              <w:top w:val="single" w:sz="4" w:space="0" w:color="8EA9DB"/>
              <w:left w:val="nil"/>
              <w:bottom w:val="single" w:sz="4" w:space="0" w:color="8EA9DB"/>
              <w:right w:val="single" w:sz="4" w:space="0" w:color="8EA9DB"/>
            </w:tcBorders>
            <w:shd w:val="clear" w:color="D9E1F2" w:fill="D9E1F2"/>
            <w:noWrap/>
            <w:vAlign w:val="bottom"/>
            <w:hideMark/>
          </w:tcPr>
          <w:p w14:paraId="239D73BE" w14:textId="77777777" w:rsidR="00AD528F" w:rsidRPr="004B569D" w:rsidRDefault="00AD528F" w:rsidP="00AD528F">
            <w:pPr>
              <w:spacing w:after="0" w:line="240" w:lineRule="auto"/>
              <w:jc w:val="center"/>
              <w:rPr>
                <w:rFonts w:ascii="Times New Roman" w:eastAsia="Times New Roman" w:hAnsi="Times New Roman" w:cs="Times New Roman"/>
                <w:color w:val="000000"/>
                <w:sz w:val="18"/>
                <w:szCs w:val="18"/>
              </w:rPr>
            </w:pPr>
            <w:r w:rsidRPr="004B569D">
              <w:rPr>
                <w:rFonts w:ascii="Times New Roman" w:eastAsia="Times New Roman" w:hAnsi="Times New Roman" w:cs="Times New Roman"/>
                <w:color w:val="000000"/>
                <w:sz w:val="18"/>
                <w:szCs w:val="18"/>
              </w:rPr>
              <w:t>$30.29</w:t>
            </w:r>
          </w:p>
        </w:tc>
      </w:tr>
    </w:tbl>
    <w:p w14:paraId="1B5376F0" w14:textId="77777777" w:rsidR="00581D82" w:rsidRPr="003A0A70" w:rsidRDefault="00581D82" w:rsidP="003F7E1E">
      <w:pPr>
        <w:rPr>
          <w:rFonts w:ascii="Times New Roman" w:hAnsi="Times New Roman" w:cs="Times New Roman"/>
          <w:color w:val="000000" w:themeColor="text1"/>
          <w:sz w:val="24"/>
          <w:szCs w:val="24"/>
        </w:rPr>
      </w:pPr>
    </w:p>
    <w:p w14:paraId="5D7DD30C" w14:textId="4EBBBFF2" w:rsidR="001D5447" w:rsidRPr="001D5447" w:rsidRDefault="001D5447" w:rsidP="001D5447">
      <w:pPr>
        <w:tabs>
          <w:tab w:val="left" w:pos="1152"/>
        </w:tabs>
        <w:spacing w:line="480" w:lineRule="auto"/>
        <w:rPr>
          <w:rFonts w:ascii="Times New Roman" w:hAnsi="Times New Roman" w:cs="Times New Roman"/>
          <w:bCs/>
          <w:iCs/>
          <w:color w:val="000000" w:themeColor="text1"/>
          <w:sz w:val="24"/>
          <w:szCs w:val="24"/>
        </w:rPr>
      </w:pPr>
      <w:r>
        <w:rPr>
          <w:rFonts w:ascii="Times New Roman" w:hAnsi="Times New Roman" w:cs="Times New Roman"/>
          <w:b/>
          <w:bCs/>
          <w:iCs/>
          <w:color w:val="000000" w:themeColor="text1"/>
          <w:sz w:val="24"/>
          <w:szCs w:val="24"/>
        </w:rPr>
        <w:tab/>
      </w:r>
      <w:r w:rsidRPr="001D5447">
        <w:rPr>
          <w:rFonts w:ascii="Times New Roman" w:hAnsi="Times New Roman" w:cs="Times New Roman"/>
          <w:b/>
          <w:bCs/>
          <w:iCs/>
          <w:color w:val="000000" w:themeColor="text1"/>
          <w:sz w:val="24"/>
          <w:szCs w:val="24"/>
        </w:rPr>
        <w:t>Trend Analysis.</w:t>
      </w:r>
      <w:r w:rsidRPr="001D5447">
        <w:rPr>
          <w:rFonts w:ascii="Times New Roman" w:hAnsi="Times New Roman" w:cs="Times New Roman"/>
          <w:bCs/>
          <w:iCs/>
          <w:color w:val="000000" w:themeColor="text1"/>
          <w:sz w:val="24"/>
          <w:szCs w:val="24"/>
        </w:rPr>
        <w:t xml:space="preserve"> Electronic Arts’ market price per share has almost doubled from $58.82 in 2015 to $102.67 in 2018. Also, their book price per share has increased within the same period. However, the increase in market price per share ratio and book price per share ratio has not been the same, which has led to fluctuations with a max market to book ratio of $7.45 in 2018 followed by a drastic fall to $5.74 the following year. The firm’s price to earnings ratio fell from 2015 at $21.87 to 2016 to $18.89, then rose to $30.83 in 2019. This means that there was a rise in earnings expectations from Electronic Arts’ investors.</w:t>
      </w:r>
    </w:p>
    <w:p w14:paraId="3F1651C5" w14:textId="77777777" w:rsidR="001D5447" w:rsidRPr="001D5447" w:rsidRDefault="001D5447" w:rsidP="001D5447">
      <w:pPr>
        <w:tabs>
          <w:tab w:val="left" w:pos="1152"/>
        </w:tabs>
        <w:spacing w:line="480" w:lineRule="auto"/>
        <w:rPr>
          <w:rFonts w:ascii="Times New Roman" w:hAnsi="Times New Roman" w:cs="Times New Roman"/>
          <w:bCs/>
          <w:iCs/>
          <w:color w:val="000000" w:themeColor="text1"/>
          <w:sz w:val="24"/>
          <w:szCs w:val="24"/>
        </w:rPr>
      </w:pPr>
      <w:r w:rsidRPr="001D5447">
        <w:rPr>
          <w:rFonts w:ascii="Times New Roman" w:hAnsi="Times New Roman" w:cs="Times New Roman"/>
          <w:bCs/>
          <w:iCs/>
          <w:color w:val="000000" w:themeColor="text1"/>
          <w:sz w:val="24"/>
          <w:szCs w:val="24"/>
        </w:rPr>
        <w:lastRenderedPageBreak/>
        <w:t>Activision Blizzard’s market price per share has increased from 2015 at $37.67 to $59.42 in 2019. Their book per share has increased every year but not at the rate as market price per share. This has led to a fluctuation in the market to book ratio. Their price to earnings ratio spiked in 2017 at $173.58 from $27.67 the previous year. This is due to a significant fall in net income in 2017 as income expense rose significantly.</w:t>
      </w:r>
    </w:p>
    <w:p w14:paraId="564BC74F" w14:textId="13BF8660" w:rsidR="001D5447" w:rsidRPr="001D5447" w:rsidRDefault="001D5447" w:rsidP="001D5447">
      <w:pPr>
        <w:tabs>
          <w:tab w:val="left" w:pos="1152"/>
        </w:tabs>
        <w:spacing w:line="480" w:lineRule="auto"/>
        <w:rPr>
          <w:rFonts w:ascii="Times New Roman" w:hAnsi="Times New Roman" w:cs="Times New Roman"/>
          <w:bCs/>
          <w:iCs/>
          <w:color w:val="000000" w:themeColor="text1"/>
          <w:sz w:val="24"/>
          <w:szCs w:val="24"/>
        </w:rPr>
      </w:pPr>
      <w:r>
        <w:rPr>
          <w:rFonts w:ascii="Times New Roman" w:hAnsi="Times New Roman" w:cs="Times New Roman"/>
          <w:b/>
          <w:bCs/>
          <w:iCs/>
          <w:color w:val="000000" w:themeColor="text1"/>
          <w:sz w:val="24"/>
          <w:szCs w:val="24"/>
        </w:rPr>
        <w:tab/>
      </w:r>
      <w:r w:rsidRPr="001D5447">
        <w:rPr>
          <w:rFonts w:ascii="Times New Roman" w:hAnsi="Times New Roman" w:cs="Times New Roman"/>
          <w:b/>
          <w:bCs/>
          <w:iCs/>
          <w:color w:val="000000" w:themeColor="text1"/>
          <w:sz w:val="24"/>
          <w:szCs w:val="24"/>
        </w:rPr>
        <w:t>Cross Sectional Analysis.</w:t>
      </w:r>
      <w:r w:rsidRPr="001D5447">
        <w:rPr>
          <w:rFonts w:ascii="Times New Roman" w:hAnsi="Times New Roman" w:cs="Times New Roman"/>
          <w:bCs/>
          <w:iCs/>
          <w:color w:val="000000" w:themeColor="text1"/>
          <w:sz w:val="24"/>
          <w:szCs w:val="24"/>
        </w:rPr>
        <w:t xml:space="preserve"> When comparing the two companies, it is obvious that Electronic Arts has been the more demanded company as its market price per share is significantly greater than the market price per share of Activision Blizzard from 2015 to 2019. Both Electronic Art’s and Activision Blizzard’s book price per share is significantly greater than the industry average. This means that both companies’ investors are expecting an increase in earnings from both businesses. Moreover, only Electronic Art has a greater market to book ratio than the industry average and both companies’ price to earnings ratio is similar and is very close to the industry average.</w:t>
      </w:r>
    </w:p>
    <w:p w14:paraId="342A0C40" w14:textId="77777777" w:rsidR="001D5447" w:rsidRPr="001D5447" w:rsidRDefault="001D5447" w:rsidP="001D5447">
      <w:pPr>
        <w:pStyle w:val="Heading1"/>
        <w:spacing w:line="480" w:lineRule="auto"/>
        <w:contextualSpacing/>
        <w:jc w:val="center"/>
        <w:rPr>
          <w:rFonts w:ascii="Times New Roman" w:hAnsi="Times New Roman" w:cs="Times New Roman"/>
          <w:b/>
          <w:color w:val="auto"/>
          <w:sz w:val="24"/>
        </w:rPr>
      </w:pPr>
      <w:r w:rsidRPr="001D5447">
        <w:rPr>
          <w:rFonts w:ascii="Times New Roman" w:hAnsi="Times New Roman" w:cs="Times New Roman"/>
          <w:b/>
          <w:color w:val="auto"/>
          <w:sz w:val="24"/>
        </w:rPr>
        <w:t>Common Size and Cash Flow Analysis</w:t>
      </w:r>
    </w:p>
    <w:p w14:paraId="4C24B1F7" w14:textId="77777777" w:rsidR="001D5447" w:rsidRPr="001D5447" w:rsidRDefault="001D5447" w:rsidP="001D5447">
      <w:pPr>
        <w:tabs>
          <w:tab w:val="left" w:pos="1152"/>
        </w:tabs>
        <w:spacing w:line="480" w:lineRule="auto"/>
        <w:contextualSpacing/>
        <w:rPr>
          <w:rFonts w:ascii="Times New Roman" w:hAnsi="Times New Roman" w:cs="Times New Roman"/>
          <w:b/>
          <w:bCs/>
          <w:iCs/>
          <w:color w:val="000000" w:themeColor="text1"/>
          <w:sz w:val="24"/>
          <w:szCs w:val="24"/>
        </w:rPr>
      </w:pPr>
      <w:r w:rsidRPr="001D5447">
        <w:rPr>
          <w:rFonts w:ascii="Times New Roman" w:hAnsi="Times New Roman" w:cs="Times New Roman"/>
          <w:b/>
          <w:bCs/>
          <w:iCs/>
          <w:color w:val="000000" w:themeColor="text1"/>
          <w:sz w:val="24"/>
          <w:szCs w:val="24"/>
        </w:rPr>
        <w:t>Common Size Financial Statements</w:t>
      </w:r>
    </w:p>
    <w:p w14:paraId="36CC2BD8" w14:textId="77777777" w:rsidR="001D5447" w:rsidRPr="001D5447" w:rsidRDefault="001D5447" w:rsidP="001D5447">
      <w:pPr>
        <w:tabs>
          <w:tab w:val="left" w:pos="1152"/>
        </w:tabs>
        <w:spacing w:line="480" w:lineRule="auto"/>
        <w:contextualSpacing/>
        <w:rPr>
          <w:rFonts w:ascii="Times New Roman" w:hAnsi="Times New Roman" w:cs="Times New Roman"/>
          <w:bCs/>
          <w:iCs/>
          <w:color w:val="000000" w:themeColor="text1"/>
          <w:sz w:val="24"/>
          <w:szCs w:val="24"/>
        </w:rPr>
      </w:pPr>
      <w:r w:rsidRPr="001D5447">
        <w:rPr>
          <w:rFonts w:ascii="Times New Roman" w:hAnsi="Times New Roman" w:cs="Times New Roman"/>
          <w:bCs/>
          <w:iCs/>
          <w:color w:val="000000" w:themeColor="text1"/>
          <w:sz w:val="24"/>
          <w:szCs w:val="24"/>
        </w:rPr>
        <w:t xml:space="preserve">Common size analysis is a method of evaluating financial information by expressing each item in a financial statement as a percentage of a base amount for the same period. With a common size income statement, the document shows how the different financials on an income statement vary from year to year as a percentage of sales. It goes deeper into details and aids investors when a decision needs to be made. One of the advantages of these types of analysis is that it allows for vertical analysis. Another advantage is that percentage figures instead of dollar figures give a </w:t>
      </w:r>
      <w:r w:rsidRPr="001D5447">
        <w:rPr>
          <w:rFonts w:ascii="Times New Roman" w:hAnsi="Times New Roman" w:cs="Times New Roman"/>
          <w:bCs/>
          <w:iCs/>
          <w:color w:val="000000" w:themeColor="text1"/>
          <w:sz w:val="24"/>
          <w:szCs w:val="24"/>
        </w:rPr>
        <w:lastRenderedPageBreak/>
        <w:t xml:space="preserve">clean and simple view of the statements. Moreover, drastic falls or rises in a company’s financial statements can easily be noticed. </w:t>
      </w:r>
    </w:p>
    <w:p w14:paraId="51BAD283" w14:textId="77777777" w:rsidR="001D5447" w:rsidRPr="001D5447" w:rsidRDefault="001D5447" w:rsidP="001D5447">
      <w:pPr>
        <w:tabs>
          <w:tab w:val="left" w:pos="1152"/>
        </w:tabs>
        <w:spacing w:line="480" w:lineRule="auto"/>
        <w:rPr>
          <w:rFonts w:ascii="Times New Roman" w:hAnsi="Times New Roman" w:cs="Times New Roman"/>
          <w:bCs/>
          <w:iCs/>
          <w:color w:val="000000" w:themeColor="text1"/>
          <w:sz w:val="24"/>
          <w:szCs w:val="24"/>
        </w:rPr>
      </w:pPr>
      <w:r w:rsidRPr="001D5447">
        <w:rPr>
          <w:rFonts w:ascii="Times New Roman" w:hAnsi="Times New Roman" w:cs="Times New Roman"/>
          <w:bCs/>
          <w:iCs/>
          <w:color w:val="000000" w:themeColor="text1"/>
          <w:sz w:val="24"/>
          <w:szCs w:val="24"/>
        </w:rPr>
        <w:tab/>
        <w:t>From 2015 to 2019, looking at the common size balance sheet for Electronic Arts, we can see that current assets as a percentage of total assets have been on an upward trend, so has cash and cash equivalents. However, net property and equipment, and goodwill as a percentage of total assets have been on the opposite trend. This has had positive implications on Electronic Arts liquidity ratios. Current liabilities as a percentage of total assets have been decreasing throughout the five years while other liabilities as a percentage of total assets have been fluctuating. This has led to a downward trend in total liabilities as a percentage of total assets. When looking at the common-size income statement of Electronic Arts, the firm’s gross profit as a percentage of total revenue has been increasing. However, net income as a percentage of total revenue has fluctuated from 2015 to 2017 but has remained steady from 2018 to 2019.</w:t>
      </w:r>
    </w:p>
    <w:p w14:paraId="072ACBA7" w14:textId="5CDF2735" w:rsidR="001D5447" w:rsidRPr="001D5447" w:rsidRDefault="001D5447" w:rsidP="001D5447">
      <w:pPr>
        <w:tabs>
          <w:tab w:val="left" w:pos="1152"/>
        </w:tabs>
        <w:spacing w:line="480" w:lineRule="auto"/>
        <w:rPr>
          <w:rFonts w:ascii="Times New Roman" w:hAnsi="Times New Roman" w:cs="Times New Roman"/>
          <w:bCs/>
          <w:iCs/>
          <w:color w:val="000000" w:themeColor="text1"/>
          <w:sz w:val="24"/>
          <w:szCs w:val="24"/>
        </w:rPr>
      </w:pPr>
      <w:r w:rsidRPr="001D5447">
        <w:rPr>
          <w:rFonts w:ascii="Times New Roman" w:hAnsi="Times New Roman" w:cs="Times New Roman"/>
          <w:bCs/>
          <w:iCs/>
          <w:color w:val="000000" w:themeColor="text1"/>
          <w:sz w:val="24"/>
          <w:szCs w:val="24"/>
        </w:rPr>
        <w:tab/>
        <w:t xml:space="preserve">When examining Activision Blizzard’s common size balance sheet, the firm’s cash and cash equivalents as a percentage of total assets have been on an upward trajectory which has contributed to </w:t>
      </w:r>
      <w:r w:rsidRPr="001D5447">
        <w:rPr>
          <w:rFonts w:ascii="Times New Roman" w:hAnsi="Times New Roman" w:cs="Times New Roman"/>
          <w:bCs/>
          <w:iCs/>
          <w:color w:val="000000" w:themeColor="text1"/>
          <w:sz w:val="24"/>
          <w:szCs w:val="24"/>
        </w:rPr>
        <w:t>an</w:t>
      </w:r>
      <w:r w:rsidRPr="001D5447">
        <w:rPr>
          <w:rFonts w:ascii="Times New Roman" w:hAnsi="Times New Roman" w:cs="Times New Roman"/>
          <w:bCs/>
          <w:iCs/>
          <w:color w:val="000000" w:themeColor="text1"/>
          <w:sz w:val="24"/>
          <w:szCs w:val="24"/>
        </w:rPr>
        <w:t xml:space="preserve"> improvement in the company’s liquidity ratios. Account receivables and other current assets as a percentage of total assets have fluctuated but, current assets as a percentage of total assets have increased during the five years. In the same period, total current liabilities as a percentage has fluctuated, long-term debt as a percentage of total assets has been on a downward trend while total shareholder’s equity as a percentage of total assets has been on an upward trend. When examining Electronic Arts' common-size income sheet, net income as a percentage of total revenue saw a significant deep in 2017 but was corrected in 2018 and 2019.</w:t>
      </w:r>
    </w:p>
    <w:p w14:paraId="0FD373E7" w14:textId="77777777" w:rsidR="001D5447" w:rsidRPr="001D5447" w:rsidRDefault="001D5447" w:rsidP="001D5447">
      <w:pPr>
        <w:tabs>
          <w:tab w:val="left" w:pos="1152"/>
        </w:tabs>
        <w:spacing w:line="480" w:lineRule="auto"/>
        <w:rPr>
          <w:rFonts w:ascii="Times New Roman" w:hAnsi="Times New Roman" w:cs="Times New Roman"/>
          <w:bCs/>
          <w:iCs/>
          <w:color w:val="000000" w:themeColor="text1"/>
          <w:sz w:val="24"/>
          <w:szCs w:val="24"/>
        </w:rPr>
      </w:pPr>
      <w:r w:rsidRPr="001D5447">
        <w:rPr>
          <w:rFonts w:ascii="Times New Roman" w:hAnsi="Times New Roman" w:cs="Times New Roman"/>
          <w:bCs/>
          <w:iCs/>
          <w:color w:val="000000" w:themeColor="text1"/>
          <w:sz w:val="24"/>
          <w:szCs w:val="24"/>
        </w:rPr>
        <w:t xml:space="preserve">Cash Flow Analysis </w:t>
      </w:r>
    </w:p>
    <w:p w14:paraId="3E121B2B" w14:textId="77777777" w:rsidR="001D5447" w:rsidRPr="001D5447" w:rsidRDefault="001D5447" w:rsidP="001D5447">
      <w:pPr>
        <w:tabs>
          <w:tab w:val="left" w:pos="1152"/>
        </w:tabs>
        <w:spacing w:line="480" w:lineRule="auto"/>
        <w:rPr>
          <w:rFonts w:ascii="Times New Roman" w:hAnsi="Times New Roman" w:cs="Times New Roman"/>
          <w:bCs/>
          <w:iCs/>
          <w:color w:val="000000" w:themeColor="text1"/>
          <w:sz w:val="24"/>
          <w:szCs w:val="24"/>
        </w:rPr>
      </w:pPr>
      <w:r w:rsidRPr="001D5447">
        <w:rPr>
          <w:rFonts w:ascii="Times New Roman" w:hAnsi="Times New Roman" w:cs="Times New Roman"/>
          <w:bCs/>
          <w:iCs/>
          <w:color w:val="000000" w:themeColor="text1"/>
          <w:sz w:val="24"/>
          <w:szCs w:val="24"/>
        </w:rPr>
        <w:lastRenderedPageBreak/>
        <w:tab/>
        <w:t xml:space="preserve">Cash flow analysis looks at the monetary inflows and outflow of a business during s specific period, usually annually. Keeping track of a company’s cash flow is necessary for a healthy business. </w:t>
      </w:r>
    </w:p>
    <w:p w14:paraId="57A90794" w14:textId="02577DD1" w:rsidR="001D5447" w:rsidRPr="001D5447" w:rsidRDefault="001D5447" w:rsidP="001D5447">
      <w:pPr>
        <w:tabs>
          <w:tab w:val="left" w:pos="1152"/>
        </w:tabs>
        <w:spacing w:line="480" w:lineRule="auto"/>
        <w:rPr>
          <w:rFonts w:ascii="Times New Roman" w:hAnsi="Times New Roman" w:cs="Times New Roman"/>
          <w:bCs/>
          <w:iCs/>
          <w:color w:val="000000" w:themeColor="text1"/>
          <w:sz w:val="24"/>
          <w:szCs w:val="24"/>
        </w:rPr>
      </w:pPr>
      <w:r w:rsidRPr="001D5447">
        <w:rPr>
          <w:rFonts w:ascii="Times New Roman" w:hAnsi="Times New Roman" w:cs="Times New Roman"/>
          <w:bCs/>
          <w:iCs/>
          <w:color w:val="000000" w:themeColor="text1"/>
          <w:sz w:val="24"/>
          <w:szCs w:val="24"/>
        </w:rPr>
        <w:t xml:space="preserve">For Electronic Arts, the company manages to make a profit each year as it has managed to keep its inflows substantially above its outflows with a peak net income in 2016. This is good as it shows that the company is in a good financial position and is profitable. The company’s inventory has </w:t>
      </w:r>
      <w:r w:rsidRPr="001D5447">
        <w:rPr>
          <w:rFonts w:ascii="Times New Roman" w:hAnsi="Times New Roman" w:cs="Times New Roman"/>
          <w:bCs/>
          <w:iCs/>
          <w:color w:val="000000" w:themeColor="text1"/>
          <w:sz w:val="24"/>
          <w:szCs w:val="24"/>
        </w:rPr>
        <w:t>flat lined</w:t>
      </w:r>
      <w:r w:rsidRPr="001D5447">
        <w:rPr>
          <w:rFonts w:ascii="Times New Roman" w:hAnsi="Times New Roman" w:cs="Times New Roman"/>
          <w:bCs/>
          <w:iCs/>
          <w:color w:val="000000" w:themeColor="text1"/>
          <w:sz w:val="24"/>
          <w:szCs w:val="24"/>
        </w:rPr>
        <w:t xml:space="preserve"> to zero as it did not record any inventory figure from 2016 as it moves more towards third party distribution and online video game sales, while its accounts payable has fluctuated throughout the five years. </w:t>
      </w:r>
    </w:p>
    <w:p w14:paraId="0A949322" w14:textId="77777777" w:rsidR="001D5447" w:rsidRPr="001D5447" w:rsidRDefault="001D5447" w:rsidP="001D5447">
      <w:pPr>
        <w:tabs>
          <w:tab w:val="left" w:pos="1152"/>
        </w:tabs>
        <w:spacing w:line="480" w:lineRule="auto"/>
        <w:rPr>
          <w:rFonts w:ascii="Times New Roman" w:hAnsi="Times New Roman" w:cs="Times New Roman"/>
          <w:bCs/>
          <w:iCs/>
          <w:color w:val="000000" w:themeColor="text1"/>
          <w:sz w:val="24"/>
          <w:szCs w:val="24"/>
        </w:rPr>
      </w:pPr>
      <w:r w:rsidRPr="001D5447">
        <w:rPr>
          <w:rFonts w:ascii="Times New Roman" w:hAnsi="Times New Roman" w:cs="Times New Roman"/>
          <w:bCs/>
          <w:iCs/>
          <w:color w:val="000000" w:themeColor="text1"/>
          <w:sz w:val="24"/>
          <w:szCs w:val="24"/>
        </w:rPr>
        <w:tab/>
        <w:t>Activision Blizzard's net income has fluctuated over the past five years with a peak net income in 2016. With high profits, this shows that the company is in a good profitability situation and will look enticing to investors. This may be due to recent successes such as Call of Duty: WWII and World of Warcraft. However, net income fell the following year in 2017 due to a rise in income expenses.</w:t>
      </w:r>
    </w:p>
    <w:p w14:paraId="00DD3514" w14:textId="77777777" w:rsidR="001D5447" w:rsidRPr="001D5447" w:rsidRDefault="001D5447" w:rsidP="001D5447">
      <w:pPr>
        <w:pStyle w:val="Heading1"/>
        <w:spacing w:line="480" w:lineRule="auto"/>
        <w:contextualSpacing/>
        <w:jc w:val="center"/>
        <w:rPr>
          <w:rFonts w:ascii="Times New Roman" w:hAnsi="Times New Roman" w:cs="Times New Roman"/>
          <w:b/>
          <w:color w:val="auto"/>
          <w:sz w:val="24"/>
        </w:rPr>
      </w:pPr>
      <w:bookmarkStart w:id="6" w:name="_Summary_and_Conclusion"/>
      <w:bookmarkEnd w:id="6"/>
      <w:r w:rsidRPr="001D5447">
        <w:rPr>
          <w:rFonts w:ascii="Times New Roman" w:hAnsi="Times New Roman" w:cs="Times New Roman"/>
          <w:b/>
          <w:color w:val="auto"/>
          <w:sz w:val="24"/>
        </w:rPr>
        <w:t>Summary and Conclusion</w:t>
      </w:r>
    </w:p>
    <w:p w14:paraId="4149FCCF" w14:textId="77777777" w:rsidR="001D5447" w:rsidRPr="001D5447" w:rsidRDefault="001D5447" w:rsidP="001D5447">
      <w:pPr>
        <w:tabs>
          <w:tab w:val="left" w:pos="1152"/>
        </w:tabs>
        <w:spacing w:line="480" w:lineRule="auto"/>
        <w:rPr>
          <w:rFonts w:ascii="Times New Roman" w:hAnsi="Times New Roman" w:cs="Times New Roman"/>
          <w:bCs/>
          <w:iCs/>
          <w:color w:val="000000" w:themeColor="text1"/>
          <w:sz w:val="24"/>
          <w:szCs w:val="24"/>
        </w:rPr>
      </w:pPr>
      <w:r w:rsidRPr="001D5447">
        <w:rPr>
          <w:rFonts w:ascii="Times New Roman" w:hAnsi="Times New Roman" w:cs="Times New Roman"/>
          <w:bCs/>
          <w:iCs/>
          <w:color w:val="000000" w:themeColor="text1"/>
          <w:sz w:val="24"/>
          <w:szCs w:val="24"/>
        </w:rPr>
        <w:tab/>
        <w:t xml:space="preserve">Overall, Electronic Arts appears to be the company in a better financial position compared to Activision Blizzard. The gaming industry has enjoyed steady growth through this decade and recently, with a large boom due to the COVID-19 pandemic, the businesses have never done better. Due to the quarantine and the increased demand for entertainment, video games, and interactive software are being consumed at an unanticipated rate. This large increase in consumption could lead to a large spike in net income for both Electronic Arts and Activision Blizzard. With the coronavirus pandemic’s end not in sight, this year looks ripe for Electronic </w:t>
      </w:r>
      <w:r w:rsidRPr="001D5447">
        <w:rPr>
          <w:rFonts w:ascii="Times New Roman" w:hAnsi="Times New Roman" w:cs="Times New Roman"/>
          <w:bCs/>
          <w:iCs/>
          <w:color w:val="000000" w:themeColor="text1"/>
          <w:sz w:val="24"/>
          <w:szCs w:val="24"/>
        </w:rPr>
        <w:lastRenderedPageBreak/>
        <w:t>Arts and Activision Blizzard to take full advantage. However, due to the large and unexpected spike in consumption most games by these two companies that use online servers are beginning to slow down leading to reduced user speed and performance. If this issue is not addressed quickly this might lead to a fall in demand for these two companies’ products in the future due to bad user experience which could affect the companies’ profitability.</w:t>
      </w:r>
    </w:p>
    <w:p w14:paraId="6AD1F90C" w14:textId="4E74620C" w:rsidR="00FB798B" w:rsidRPr="001D5447" w:rsidRDefault="001D5447" w:rsidP="001D5447">
      <w:pPr>
        <w:tabs>
          <w:tab w:val="left" w:pos="1152"/>
        </w:tabs>
        <w:spacing w:line="480" w:lineRule="auto"/>
        <w:rPr>
          <w:rFonts w:ascii="Times New Roman" w:hAnsi="Times New Roman" w:cs="Times New Roman"/>
          <w:color w:val="000000" w:themeColor="text1"/>
          <w:sz w:val="24"/>
          <w:szCs w:val="24"/>
        </w:rPr>
      </w:pPr>
      <w:r w:rsidRPr="001D5447">
        <w:rPr>
          <w:rFonts w:ascii="Times New Roman" w:hAnsi="Times New Roman" w:cs="Times New Roman"/>
          <w:bCs/>
          <w:iCs/>
          <w:color w:val="000000" w:themeColor="text1"/>
          <w:sz w:val="24"/>
          <w:szCs w:val="24"/>
        </w:rPr>
        <w:tab/>
        <w:t>Concerning investing in one of the two company’s stocks, I would recommend Electronic Art’s because they have a similar price to earnings ratio compared to Activision Blizzard, and Electronic Arts have better liquidity ratios, return on equity, and the company seems to be the more innovative business with their expansion into software distribution. Also, Electronic Arts' most beloved games are created based on very popular intellectual properties including sports. Therefore, as long as these intellectual properties are in demand, so will Electronic Arts’ games. Hence, Electronic Arts is in a great position to continue being profitable.</w:t>
      </w:r>
    </w:p>
    <w:p w14:paraId="53D934CA" w14:textId="77777777" w:rsidR="008D2EBD" w:rsidRDefault="008D2EBD" w:rsidP="002108BA">
      <w:pPr>
        <w:tabs>
          <w:tab w:val="left" w:pos="1152"/>
        </w:tabs>
        <w:rPr>
          <w:rFonts w:ascii="Times New Roman" w:hAnsi="Times New Roman" w:cs="Times New Roman"/>
          <w:color w:val="000000" w:themeColor="text1"/>
          <w:sz w:val="24"/>
          <w:szCs w:val="24"/>
        </w:rPr>
      </w:pPr>
    </w:p>
    <w:p w14:paraId="74B22342" w14:textId="77777777" w:rsidR="001D5447" w:rsidRDefault="001D5447" w:rsidP="002108BA">
      <w:pPr>
        <w:tabs>
          <w:tab w:val="left" w:pos="1152"/>
        </w:tabs>
        <w:rPr>
          <w:rFonts w:ascii="Times New Roman" w:hAnsi="Times New Roman" w:cs="Times New Roman"/>
          <w:color w:val="000000" w:themeColor="text1"/>
          <w:sz w:val="24"/>
          <w:szCs w:val="24"/>
        </w:rPr>
      </w:pPr>
    </w:p>
    <w:p w14:paraId="70FFA07F" w14:textId="77777777" w:rsidR="001D5447" w:rsidRDefault="001D5447" w:rsidP="002108BA">
      <w:pPr>
        <w:tabs>
          <w:tab w:val="left" w:pos="1152"/>
        </w:tabs>
        <w:rPr>
          <w:rFonts w:ascii="Times New Roman" w:hAnsi="Times New Roman" w:cs="Times New Roman"/>
          <w:color w:val="000000" w:themeColor="text1"/>
          <w:sz w:val="24"/>
          <w:szCs w:val="24"/>
        </w:rPr>
      </w:pPr>
    </w:p>
    <w:p w14:paraId="19BD1C5A" w14:textId="77777777" w:rsidR="001D5447" w:rsidRDefault="001D5447" w:rsidP="002108BA">
      <w:pPr>
        <w:tabs>
          <w:tab w:val="left" w:pos="1152"/>
        </w:tabs>
        <w:rPr>
          <w:rFonts w:ascii="Times New Roman" w:hAnsi="Times New Roman" w:cs="Times New Roman"/>
          <w:color w:val="000000" w:themeColor="text1"/>
          <w:sz w:val="24"/>
          <w:szCs w:val="24"/>
        </w:rPr>
      </w:pPr>
    </w:p>
    <w:p w14:paraId="06F5780C" w14:textId="77777777" w:rsidR="001D5447" w:rsidRDefault="001D5447" w:rsidP="002108BA">
      <w:pPr>
        <w:tabs>
          <w:tab w:val="left" w:pos="1152"/>
        </w:tabs>
        <w:rPr>
          <w:rFonts w:ascii="Times New Roman" w:hAnsi="Times New Roman" w:cs="Times New Roman"/>
          <w:color w:val="000000" w:themeColor="text1"/>
          <w:sz w:val="24"/>
          <w:szCs w:val="24"/>
        </w:rPr>
      </w:pPr>
    </w:p>
    <w:p w14:paraId="120B258D" w14:textId="77777777" w:rsidR="001D5447" w:rsidRDefault="001D5447" w:rsidP="002108BA">
      <w:pPr>
        <w:tabs>
          <w:tab w:val="left" w:pos="1152"/>
        </w:tabs>
        <w:rPr>
          <w:rFonts w:ascii="Times New Roman" w:hAnsi="Times New Roman" w:cs="Times New Roman"/>
          <w:color w:val="000000" w:themeColor="text1"/>
          <w:sz w:val="24"/>
          <w:szCs w:val="24"/>
        </w:rPr>
      </w:pPr>
    </w:p>
    <w:p w14:paraId="50AC46BF" w14:textId="77777777" w:rsidR="001D5447" w:rsidRDefault="001D5447" w:rsidP="002108BA">
      <w:pPr>
        <w:tabs>
          <w:tab w:val="left" w:pos="1152"/>
        </w:tabs>
        <w:rPr>
          <w:rFonts w:ascii="Times New Roman" w:hAnsi="Times New Roman" w:cs="Times New Roman"/>
          <w:color w:val="000000" w:themeColor="text1"/>
          <w:sz w:val="24"/>
          <w:szCs w:val="24"/>
        </w:rPr>
      </w:pPr>
    </w:p>
    <w:p w14:paraId="7C22F3E3" w14:textId="77777777" w:rsidR="001D5447" w:rsidRDefault="001D5447" w:rsidP="002108BA">
      <w:pPr>
        <w:tabs>
          <w:tab w:val="left" w:pos="1152"/>
        </w:tabs>
        <w:rPr>
          <w:rFonts w:ascii="Times New Roman" w:hAnsi="Times New Roman" w:cs="Times New Roman"/>
          <w:color w:val="000000" w:themeColor="text1"/>
          <w:sz w:val="24"/>
          <w:szCs w:val="24"/>
        </w:rPr>
      </w:pPr>
    </w:p>
    <w:p w14:paraId="63F337E2" w14:textId="77777777" w:rsidR="001D5447" w:rsidRDefault="001D5447" w:rsidP="002108BA">
      <w:pPr>
        <w:tabs>
          <w:tab w:val="left" w:pos="1152"/>
        </w:tabs>
        <w:rPr>
          <w:rFonts w:ascii="Times New Roman" w:hAnsi="Times New Roman" w:cs="Times New Roman"/>
          <w:color w:val="000000" w:themeColor="text1"/>
          <w:sz w:val="24"/>
          <w:szCs w:val="24"/>
        </w:rPr>
      </w:pPr>
    </w:p>
    <w:p w14:paraId="04B3D304" w14:textId="77777777" w:rsidR="001D5447" w:rsidRDefault="001D5447" w:rsidP="002108BA">
      <w:pPr>
        <w:tabs>
          <w:tab w:val="left" w:pos="1152"/>
        </w:tabs>
        <w:rPr>
          <w:rFonts w:ascii="Times New Roman" w:hAnsi="Times New Roman" w:cs="Times New Roman"/>
          <w:color w:val="000000" w:themeColor="text1"/>
          <w:sz w:val="24"/>
          <w:szCs w:val="24"/>
        </w:rPr>
      </w:pPr>
    </w:p>
    <w:p w14:paraId="01B2E1E0" w14:textId="77777777" w:rsidR="001D5447" w:rsidRDefault="001D5447" w:rsidP="002108BA">
      <w:pPr>
        <w:tabs>
          <w:tab w:val="left" w:pos="1152"/>
        </w:tabs>
        <w:rPr>
          <w:rFonts w:ascii="Times New Roman" w:hAnsi="Times New Roman" w:cs="Times New Roman"/>
          <w:color w:val="000000" w:themeColor="text1"/>
          <w:sz w:val="24"/>
          <w:szCs w:val="24"/>
        </w:rPr>
      </w:pPr>
    </w:p>
    <w:p w14:paraId="4690024D" w14:textId="77777777" w:rsidR="001D5447" w:rsidRDefault="001D5447" w:rsidP="002108BA">
      <w:pPr>
        <w:tabs>
          <w:tab w:val="left" w:pos="1152"/>
        </w:tabs>
        <w:rPr>
          <w:rFonts w:ascii="Times New Roman" w:hAnsi="Times New Roman" w:cs="Times New Roman"/>
          <w:color w:val="000000" w:themeColor="text1"/>
          <w:sz w:val="24"/>
          <w:szCs w:val="24"/>
        </w:rPr>
      </w:pPr>
    </w:p>
    <w:p w14:paraId="47908562" w14:textId="77777777" w:rsidR="001D5447" w:rsidRPr="003A0A70" w:rsidRDefault="001D5447" w:rsidP="002108BA">
      <w:pPr>
        <w:tabs>
          <w:tab w:val="left" w:pos="1152"/>
        </w:tabs>
        <w:rPr>
          <w:rFonts w:ascii="Times New Roman" w:hAnsi="Times New Roman" w:cs="Times New Roman"/>
          <w:color w:val="000000" w:themeColor="text1"/>
          <w:sz w:val="24"/>
          <w:szCs w:val="24"/>
        </w:rPr>
      </w:pPr>
    </w:p>
    <w:p w14:paraId="144C3953" w14:textId="77777777" w:rsidR="004D7706" w:rsidRPr="004B569D" w:rsidRDefault="004D7706" w:rsidP="00250DA5">
      <w:pPr>
        <w:pStyle w:val="Heading2"/>
        <w:spacing w:line="480" w:lineRule="auto"/>
        <w:jc w:val="center"/>
        <w:rPr>
          <w:rFonts w:ascii="Times New Roman" w:hAnsi="Times New Roman" w:cs="Times New Roman"/>
          <w:color w:val="auto"/>
          <w:sz w:val="24"/>
          <w:szCs w:val="24"/>
          <w:u w:val="single"/>
        </w:rPr>
      </w:pPr>
      <w:bookmarkStart w:id="7" w:name="_References"/>
      <w:bookmarkEnd w:id="7"/>
      <w:r w:rsidRPr="00250DA5">
        <w:rPr>
          <w:rFonts w:ascii="Times New Roman" w:hAnsi="Times New Roman" w:cs="Times New Roman"/>
          <w:color w:val="auto"/>
          <w:sz w:val="24"/>
          <w:szCs w:val="24"/>
        </w:rPr>
        <w:lastRenderedPageBreak/>
        <w:t>References</w:t>
      </w:r>
    </w:p>
    <w:p w14:paraId="74D662D3"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2018 Video Game Industry Statistics, Trends &amp; Data - The Ultimate List. (2020, March 12). Retrieved April 2, 2020, from https://www.wepc.com/news/video-game-statistics/</w:t>
      </w:r>
    </w:p>
    <w:p w14:paraId="5F9A34A8"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Activision Blizzard. (n.d.). Retrieved April 2, 2020, from https://www.activisionblizzard.com/</w:t>
      </w:r>
    </w:p>
    <w:p w14:paraId="39E3028C"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Activision Blizzard Financial Ratios for Analysis 2005-2020: ATVI. (n.d.). Retrieved April 2, 2020, from https://www.macrotrends.net/stocks/charts/ATVI/activision-blizzard/financial-ratios</w:t>
      </w:r>
    </w:p>
    <w:p w14:paraId="54E595D1"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Activision Blizzard, Inc (ATVI) Stock Historical Prices &amp; Data. (2020, March 20). Retrieved April 2, 2020, from https://finance.yahoo.com/quote/ATVI/history?period1=1577577600&amp;period2=1577923200&amp;interval=1d&amp;filter=history&amp;frequency=1d</w:t>
      </w:r>
    </w:p>
    <w:p w14:paraId="06B14E6B"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ACTIVISION BLIZZARD, INC. (n.d.). Retrieved April 2, 2020, from https://www.msn.com/en-us/money/stockdetails/analysis/nas-atvi/fi-a1nxoc</w:t>
      </w:r>
    </w:p>
    <w:p w14:paraId="5B1A0A07"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Central Authentication Service (CAS). (n.d.). Retrieved April 2, 2020, from https://www-mergentonline-com.wa.opal-libraries.org/companyfinancials.php?compnumber=126122</w:t>
      </w:r>
    </w:p>
    <w:p w14:paraId="10FFA05D"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Central Authentication Service (CAS). (n.d.). Retrieved April 2, 2020, from https://www-mergentonline-com.wa.opal-libraries.org/companyfinancials.php?compnumber=62773</w:t>
      </w:r>
    </w:p>
    <w:p w14:paraId="39B7BFE4"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EA's Competition by Segment and its Market Share. (n.d.). Retrieved April 2, 2020, from https://csimarket.com/stocks/competitionSEG2.php?code=EA</w:t>
      </w:r>
    </w:p>
    <w:p w14:paraId="594958D5"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Electronic Arts Financial Ratios for Analysis 2005-2020: EA. (n.d.). Retrieved April 2, 2020, from https://www.macrotrends.net/stocks/charts/EA/electronic-arts/financial-ratios</w:t>
      </w:r>
    </w:p>
    <w:p w14:paraId="6DE1B666"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lastRenderedPageBreak/>
        <w:t>Electronic Arts Inc. (n.d.). Retrieved April 2, 2020, from https://financials.morningstar.com/ratios/r.html?t=EA</w:t>
      </w:r>
    </w:p>
    <w:p w14:paraId="071F4ACA"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ELECTRONIC ARTS INC. (n.d.). Retrieved April 2, 2020, from https://www.msn.com/en-us/money/stockdetails/nas-ea/fi-a1rjec?symbol=EA&amp;form=PRFIEQ</w:t>
      </w:r>
    </w:p>
    <w:p w14:paraId="5684D1DE"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Electronic Arts Inc. (n.d.). Retrieved April 2, 2020, from https://www.marketwatch.com/investing/stock/ea</w:t>
      </w:r>
    </w:p>
    <w:p w14:paraId="40740B1D"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Electronic Arts Inc. (EA) Stock Price, Quote, History &amp; News. (2020, March 20). Retrieved April 2, 2020, from https://finance.yahoo.com/quote/EA?p=EA&amp;.tsrc=fin-srch</w:t>
      </w:r>
    </w:p>
    <w:p w14:paraId="3EDB2CBB" w14:textId="77777777" w:rsidR="0000562C" w:rsidRPr="003A0A70" w:rsidRDefault="0000562C" w:rsidP="0000562C">
      <w:pPr>
        <w:shd w:val="clear" w:color="auto" w:fill="FFFFFF"/>
        <w:spacing w:line="480" w:lineRule="auto"/>
        <w:ind w:hanging="330"/>
        <w:rPr>
          <w:rFonts w:ascii="Times New Roman" w:eastAsia="Times New Roman" w:hAnsi="Times New Roman" w:cs="Times New Roman"/>
          <w:color w:val="333333"/>
          <w:sz w:val="24"/>
          <w:szCs w:val="24"/>
        </w:rPr>
      </w:pPr>
      <w:r w:rsidRPr="003A0A70">
        <w:rPr>
          <w:rFonts w:ascii="Times New Roman" w:eastAsia="Times New Roman" w:hAnsi="Times New Roman" w:cs="Times New Roman"/>
          <w:color w:val="333333"/>
          <w:sz w:val="24"/>
          <w:szCs w:val="24"/>
        </w:rPr>
        <w:t>Industry Market Research, Reports, and Statistics. (n.d.). Retrieved April 2, 2020, from https://www.ibisworld.com/united-states/market-research-reports/video-games-industry/</w:t>
      </w:r>
    </w:p>
    <w:p w14:paraId="17866F27" w14:textId="416323D9" w:rsidR="00AB6B2A" w:rsidRPr="003A0A70" w:rsidRDefault="00AB6B2A" w:rsidP="0084121B">
      <w:pPr>
        <w:shd w:val="clear" w:color="auto" w:fill="FFFFFF"/>
        <w:spacing w:line="480" w:lineRule="auto"/>
        <w:ind w:hanging="330"/>
        <w:rPr>
          <w:rFonts w:ascii="Times New Roman" w:eastAsia="Times New Roman" w:hAnsi="Times New Roman" w:cs="Times New Roman"/>
          <w:color w:val="333333"/>
          <w:sz w:val="24"/>
          <w:szCs w:val="24"/>
        </w:rPr>
      </w:pPr>
    </w:p>
    <w:p w14:paraId="1363056A" w14:textId="03B50F6B" w:rsidR="0016642C" w:rsidRPr="003A0A70" w:rsidRDefault="0016642C" w:rsidP="0084121B">
      <w:pPr>
        <w:shd w:val="clear" w:color="auto" w:fill="FFFFFF"/>
        <w:spacing w:line="480" w:lineRule="auto"/>
        <w:ind w:hanging="330"/>
        <w:rPr>
          <w:rFonts w:ascii="Times New Roman" w:eastAsia="Times New Roman" w:hAnsi="Times New Roman" w:cs="Times New Roman"/>
          <w:color w:val="333333"/>
          <w:sz w:val="24"/>
          <w:szCs w:val="24"/>
        </w:rPr>
      </w:pPr>
    </w:p>
    <w:p w14:paraId="541D363D" w14:textId="29848312" w:rsidR="00BF7407" w:rsidRPr="003A0A70" w:rsidRDefault="00BF7407" w:rsidP="0084121B">
      <w:pPr>
        <w:shd w:val="clear" w:color="auto" w:fill="FFFFFF"/>
        <w:spacing w:line="480" w:lineRule="auto"/>
        <w:ind w:hanging="330"/>
        <w:rPr>
          <w:rFonts w:ascii="Times New Roman" w:eastAsia="Times New Roman" w:hAnsi="Times New Roman" w:cs="Times New Roman"/>
          <w:color w:val="333333"/>
          <w:sz w:val="24"/>
          <w:szCs w:val="24"/>
        </w:rPr>
      </w:pPr>
    </w:p>
    <w:p w14:paraId="5BA50B2D" w14:textId="5067556A" w:rsidR="00BF7407" w:rsidRPr="003A0A70" w:rsidRDefault="00BF7407" w:rsidP="0084121B">
      <w:pPr>
        <w:shd w:val="clear" w:color="auto" w:fill="FFFFFF"/>
        <w:spacing w:line="480" w:lineRule="auto"/>
        <w:ind w:hanging="330"/>
        <w:rPr>
          <w:rFonts w:ascii="Times New Roman" w:eastAsia="Times New Roman" w:hAnsi="Times New Roman" w:cs="Times New Roman"/>
          <w:color w:val="333333"/>
          <w:sz w:val="24"/>
          <w:szCs w:val="24"/>
        </w:rPr>
      </w:pPr>
    </w:p>
    <w:p w14:paraId="74656883" w14:textId="27449CAD" w:rsidR="00C879E1" w:rsidRPr="003A0A70" w:rsidRDefault="00C879E1" w:rsidP="0084121B">
      <w:pPr>
        <w:shd w:val="clear" w:color="auto" w:fill="FFFFFF"/>
        <w:spacing w:line="480" w:lineRule="auto"/>
        <w:ind w:hanging="330"/>
        <w:rPr>
          <w:rFonts w:ascii="Times New Roman" w:eastAsia="Times New Roman" w:hAnsi="Times New Roman" w:cs="Times New Roman"/>
          <w:color w:val="333333"/>
          <w:sz w:val="24"/>
          <w:szCs w:val="24"/>
        </w:rPr>
      </w:pPr>
    </w:p>
    <w:p w14:paraId="4344CAA6" w14:textId="476958E0" w:rsidR="0016642C" w:rsidRDefault="0016642C" w:rsidP="0084121B">
      <w:pPr>
        <w:shd w:val="clear" w:color="auto" w:fill="FFFFFF"/>
        <w:spacing w:line="480" w:lineRule="auto"/>
        <w:ind w:hanging="330"/>
        <w:rPr>
          <w:rFonts w:ascii="Times New Roman" w:eastAsia="Times New Roman" w:hAnsi="Times New Roman" w:cs="Times New Roman"/>
          <w:color w:val="333333"/>
          <w:sz w:val="24"/>
          <w:szCs w:val="24"/>
        </w:rPr>
      </w:pPr>
    </w:p>
    <w:p w14:paraId="2F8366F6" w14:textId="5F11C02F" w:rsidR="009A4D0A" w:rsidRDefault="009A4D0A" w:rsidP="0084121B">
      <w:pPr>
        <w:shd w:val="clear" w:color="auto" w:fill="FFFFFF"/>
        <w:spacing w:line="480" w:lineRule="auto"/>
        <w:ind w:hanging="330"/>
        <w:rPr>
          <w:rFonts w:ascii="Times New Roman" w:eastAsia="Times New Roman" w:hAnsi="Times New Roman" w:cs="Times New Roman"/>
          <w:color w:val="333333"/>
          <w:sz w:val="24"/>
          <w:szCs w:val="24"/>
        </w:rPr>
      </w:pPr>
    </w:p>
    <w:p w14:paraId="4706BC97" w14:textId="687DCDCF" w:rsidR="009A4D0A" w:rsidRDefault="009A4D0A" w:rsidP="0084121B">
      <w:pPr>
        <w:shd w:val="clear" w:color="auto" w:fill="FFFFFF"/>
        <w:spacing w:line="480" w:lineRule="auto"/>
        <w:ind w:hanging="330"/>
        <w:rPr>
          <w:rFonts w:ascii="Times New Roman" w:eastAsia="Times New Roman" w:hAnsi="Times New Roman" w:cs="Times New Roman"/>
          <w:color w:val="333333"/>
          <w:sz w:val="24"/>
          <w:szCs w:val="24"/>
        </w:rPr>
      </w:pPr>
    </w:p>
    <w:p w14:paraId="3D4D800D" w14:textId="4C0B14B6" w:rsidR="009A4D0A" w:rsidRDefault="009A4D0A" w:rsidP="0084121B">
      <w:pPr>
        <w:shd w:val="clear" w:color="auto" w:fill="FFFFFF"/>
        <w:spacing w:line="480" w:lineRule="auto"/>
        <w:ind w:hanging="330"/>
        <w:rPr>
          <w:rFonts w:ascii="Times New Roman" w:eastAsia="Times New Roman" w:hAnsi="Times New Roman" w:cs="Times New Roman"/>
          <w:color w:val="333333"/>
          <w:sz w:val="24"/>
          <w:szCs w:val="24"/>
        </w:rPr>
      </w:pPr>
    </w:p>
    <w:p w14:paraId="602664A1" w14:textId="44A16C91" w:rsidR="00515718" w:rsidRPr="004B569D" w:rsidRDefault="00515718" w:rsidP="00250DA5">
      <w:pPr>
        <w:pStyle w:val="Heading1"/>
        <w:spacing w:line="480" w:lineRule="auto"/>
        <w:jc w:val="center"/>
        <w:rPr>
          <w:rFonts w:ascii="Times New Roman" w:eastAsia="Times New Roman" w:hAnsi="Times New Roman" w:cs="Times New Roman"/>
          <w:color w:val="auto"/>
          <w:sz w:val="24"/>
          <w:szCs w:val="24"/>
          <w:u w:val="single"/>
        </w:rPr>
      </w:pPr>
      <w:bookmarkStart w:id="8" w:name="_Appendix"/>
      <w:bookmarkEnd w:id="8"/>
      <w:r w:rsidRPr="00250DA5">
        <w:rPr>
          <w:rFonts w:ascii="Times New Roman" w:eastAsia="Times New Roman" w:hAnsi="Times New Roman" w:cs="Times New Roman"/>
          <w:color w:val="auto"/>
          <w:sz w:val="24"/>
          <w:szCs w:val="24"/>
        </w:rPr>
        <w:lastRenderedPageBreak/>
        <w:t>Appendix</w:t>
      </w:r>
      <w:r w:rsidR="00250DA5">
        <w:rPr>
          <w:rFonts w:ascii="Times New Roman" w:eastAsia="Times New Roman" w:hAnsi="Times New Roman" w:cs="Times New Roman"/>
          <w:color w:val="auto"/>
          <w:sz w:val="24"/>
          <w:szCs w:val="24"/>
        </w:rPr>
        <w:t xml:space="preserve"> A</w:t>
      </w:r>
    </w:p>
    <w:tbl>
      <w:tblPr>
        <w:tblW w:w="9360" w:type="dxa"/>
        <w:tblLayout w:type="fixed"/>
        <w:tblLook w:val="04A0" w:firstRow="1" w:lastRow="0" w:firstColumn="1" w:lastColumn="0" w:noHBand="0" w:noVBand="1"/>
      </w:tblPr>
      <w:tblGrid>
        <w:gridCol w:w="2880"/>
        <w:gridCol w:w="1296"/>
        <w:gridCol w:w="1296"/>
        <w:gridCol w:w="1296"/>
        <w:gridCol w:w="1296"/>
        <w:gridCol w:w="1296"/>
      </w:tblGrid>
      <w:tr w:rsidR="009A4D0A" w:rsidRPr="009A4D0A" w14:paraId="2550FAF5" w14:textId="77777777" w:rsidTr="009A4D0A">
        <w:trPr>
          <w:trHeight w:val="390"/>
        </w:trPr>
        <w:tc>
          <w:tcPr>
            <w:tcW w:w="2880" w:type="dxa"/>
            <w:tcBorders>
              <w:top w:val="nil"/>
              <w:left w:val="nil"/>
              <w:bottom w:val="nil"/>
              <w:right w:val="nil"/>
            </w:tcBorders>
            <w:shd w:val="clear" w:color="000000" w:fill="B8CCE4"/>
            <w:vAlign w:val="bottom"/>
            <w:hideMark/>
          </w:tcPr>
          <w:p w14:paraId="17D0E3B4" w14:textId="77777777" w:rsidR="009A4D0A" w:rsidRPr="009A4D0A" w:rsidRDefault="009A4D0A" w:rsidP="009A4D0A">
            <w:pPr>
              <w:spacing w:after="0" w:line="240" w:lineRule="auto"/>
              <w:rPr>
                <w:rFonts w:ascii="Calibri" w:eastAsia="Times New Roman" w:hAnsi="Calibri" w:cs="Calibri"/>
                <w:b/>
                <w:bCs/>
                <w:color w:val="1F497D"/>
                <w:sz w:val="24"/>
                <w:szCs w:val="24"/>
              </w:rPr>
            </w:pPr>
            <w:r w:rsidRPr="009A4D0A">
              <w:rPr>
                <w:rFonts w:ascii="Calibri" w:eastAsia="Times New Roman" w:hAnsi="Calibri" w:cs="Calibri"/>
                <w:b/>
                <w:bCs/>
                <w:color w:val="1F497D"/>
                <w:sz w:val="24"/>
                <w:szCs w:val="24"/>
              </w:rPr>
              <w:t>Appendix A</w:t>
            </w:r>
          </w:p>
        </w:tc>
        <w:tc>
          <w:tcPr>
            <w:tcW w:w="6480" w:type="dxa"/>
            <w:gridSpan w:val="5"/>
            <w:tcBorders>
              <w:top w:val="nil"/>
              <w:left w:val="nil"/>
              <w:bottom w:val="nil"/>
              <w:right w:val="nil"/>
            </w:tcBorders>
            <w:shd w:val="clear" w:color="000000" w:fill="B8CCE4"/>
            <w:noWrap/>
            <w:vAlign w:val="bottom"/>
            <w:hideMark/>
          </w:tcPr>
          <w:p w14:paraId="43BC2E82" w14:textId="77777777" w:rsidR="009A4D0A" w:rsidRPr="009A4D0A" w:rsidRDefault="009A4D0A" w:rsidP="009A4D0A">
            <w:pPr>
              <w:spacing w:after="0" w:line="240" w:lineRule="auto"/>
              <w:jc w:val="center"/>
              <w:rPr>
                <w:rFonts w:ascii="Calibri" w:eastAsia="Times New Roman" w:hAnsi="Calibri" w:cs="Calibri"/>
                <w:b/>
                <w:bCs/>
                <w:color w:val="1F497D"/>
                <w:sz w:val="30"/>
                <w:szCs w:val="30"/>
              </w:rPr>
            </w:pPr>
            <w:r w:rsidRPr="009A4D0A">
              <w:rPr>
                <w:rFonts w:ascii="Calibri" w:eastAsia="Times New Roman" w:hAnsi="Calibri" w:cs="Calibri"/>
                <w:b/>
                <w:bCs/>
                <w:color w:val="1F497D"/>
                <w:sz w:val="30"/>
                <w:szCs w:val="30"/>
              </w:rPr>
              <w:t>Electronic Arts - Balance Sheet</w:t>
            </w:r>
          </w:p>
        </w:tc>
      </w:tr>
      <w:tr w:rsidR="009A4D0A" w:rsidRPr="009A4D0A" w14:paraId="26A26A9D" w14:textId="77777777" w:rsidTr="009A4D0A">
        <w:trPr>
          <w:trHeight w:val="255"/>
        </w:trPr>
        <w:tc>
          <w:tcPr>
            <w:tcW w:w="2880" w:type="dxa"/>
            <w:tcBorders>
              <w:top w:val="single" w:sz="12" w:space="0" w:color="4F81BD"/>
              <w:left w:val="nil"/>
              <w:bottom w:val="single" w:sz="12" w:space="0" w:color="FFFFFF"/>
              <w:right w:val="single" w:sz="4" w:space="0" w:color="FFFFFF"/>
            </w:tcBorders>
            <w:shd w:val="clear" w:color="4F81BD" w:fill="4F81BD"/>
            <w:hideMark/>
          </w:tcPr>
          <w:p w14:paraId="2EB858A7" w14:textId="77777777" w:rsidR="009A4D0A" w:rsidRPr="009A4D0A" w:rsidRDefault="009A4D0A" w:rsidP="009A4D0A">
            <w:pPr>
              <w:spacing w:after="0" w:line="240" w:lineRule="auto"/>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Ratio</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hideMark/>
          </w:tcPr>
          <w:p w14:paraId="712DDBBA"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2019</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hideMark/>
          </w:tcPr>
          <w:p w14:paraId="07535F57"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2018</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hideMark/>
          </w:tcPr>
          <w:p w14:paraId="247D4E52"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2017</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hideMark/>
          </w:tcPr>
          <w:p w14:paraId="76325EBA"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2016</w:t>
            </w:r>
          </w:p>
        </w:tc>
        <w:tc>
          <w:tcPr>
            <w:tcW w:w="1296" w:type="dxa"/>
            <w:tcBorders>
              <w:top w:val="single" w:sz="12" w:space="0" w:color="4F81BD"/>
              <w:left w:val="single" w:sz="4" w:space="0" w:color="FFFFFF"/>
              <w:bottom w:val="single" w:sz="12" w:space="0" w:color="FFFFFF"/>
              <w:right w:val="nil"/>
            </w:tcBorders>
            <w:shd w:val="clear" w:color="4F81BD" w:fill="4F81BD"/>
            <w:hideMark/>
          </w:tcPr>
          <w:p w14:paraId="0568F598"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2015</w:t>
            </w:r>
          </w:p>
        </w:tc>
      </w:tr>
      <w:tr w:rsidR="009A4D0A" w:rsidRPr="009A4D0A" w14:paraId="2A7A3E8B"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3FE0CAD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Cash &amp; cash equivalents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D1C69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4708000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BB47D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4258000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C018E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2565000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879A2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2493000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330996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2068000</w:t>
            </w:r>
          </w:p>
        </w:tc>
      </w:tr>
      <w:tr w:rsidR="009A4D0A" w:rsidRPr="009A4D0A" w14:paraId="6A34C528"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EBE157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Short-term investments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4A4E3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737000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A6B77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1073000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D85DB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1967000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9106E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1341000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5C1E32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953000</w:t>
            </w:r>
          </w:p>
        </w:tc>
      </w:tr>
      <w:tr w:rsidR="009A4D0A" w:rsidRPr="009A4D0A" w14:paraId="077ADC52"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57C75E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Receivables, gross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C33D9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630000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1E7F3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550000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02D45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504000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980CE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392000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732EB5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502000</w:t>
            </w:r>
          </w:p>
        </w:tc>
      </w:tr>
      <w:tr w:rsidR="009A4D0A" w:rsidRPr="009A4D0A" w14:paraId="571820B7"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F62F15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Allowances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D2196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25937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96BFD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49F71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159000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A9812D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140000</w:t>
            </w:r>
          </w:p>
        </w:tc>
      </w:tr>
      <w:tr w:rsidR="009A4D0A" w:rsidRPr="009A4D0A" w14:paraId="13809A00"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53ABFF6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Receivables,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729E2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623000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297EA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385000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EBBF2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359000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102A4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233000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C31F49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362000</w:t>
            </w:r>
          </w:p>
        </w:tc>
      </w:tr>
      <w:tr w:rsidR="009A4D0A" w:rsidRPr="009A4D0A" w14:paraId="53221349"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47A0A95F"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Finished goods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8E844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750DF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A6119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FE1C6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C959FD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35000</w:t>
            </w:r>
          </w:p>
        </w:tc>
      </w:tr>
      <w:tr w:rsidR="009A4D0A" w:rsidRPr="009A4D0A" w14:paraId="38A89D0B"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5D4AADF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Raw materials &amp; work in process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018DE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AE1D0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9C794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E5434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452D45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r>
      <w:tr w:rsidR="009A4D0A" w:rsidRPr="009A4D0A" w14:paraId="726C76FC"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79D7282"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Inventories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3EB1F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3DB77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B4BB5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846B7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B1AE91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36000</w:t>
            </w:r>
          </w:p>
        </w:tc>
      </w:tr>
      <w:tr w:rsidR="009A4D0A" w:rsidRPr="009A4D0A" w14:paraId="0C6EA93F"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461D8FC4"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income taxes,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21338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C2E6B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1A9DB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21C3D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D62A55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54000</w:t>
            </w:r>
          </w:p>
        </w:tc>
      </w:tr>
      <w:tr w:rsidR="009A4D0A" w:rsidRPr="009A4D0A" w14:paraId="62B17021"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C5F7BC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Other current assets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1D3DD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DB31A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288000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0DDDB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FF98E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499FDF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247000</w:t>
            </w:r>
          </w:p>
        </w:tc>
      </w:tr>
      <w:tr w:rsidR="009A4D0A" w:rsidRPr="009A4D0A" w14:paraId="3249225E"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4C279C0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current assets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9A4E1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6381000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B2275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6004000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9AFDE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5199000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0C737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4354000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6B5AA0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3720000</w:t>
            </w:r>
          </w:p>
        </w:tc>
      </w:tr>
      <w:tr w:rsidR="009A4D0A" w:rsidRPr="009A4D0A" w14:paraId="1BA0B5EA"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AB836C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Computer equipment &amp; software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1B61B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710000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7F898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744000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CB21A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723000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D622C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684000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101582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655000</w:t>
            </w:r>
          </w:p>
        </w:tc>
      </w:tr>
      <w:tr w:rsidR="009A4D0A" w:rsidRPr="009A4D0A" w14:paraId="6132BF1F"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F6FA1FD"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Buildings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A6768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343000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1D4AB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C93C0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11C78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320ED0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315000</w:t>
            </w:r>
          </w:p>
        </w:tc>
      </w:tr>
      <w:tr w:rsidR="009A4D0A" w:rsidRPr="009A4D0A" w14:paraId="758AECAA"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2DAF95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Leasehold improvements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9BE90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477F6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EF14F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04285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129000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38B641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126000</w:t>
            </w:r>
          </w:p>
        </w:tc>
      </w:tr>
      <w:tr w:rsidR="009A4D0A" w:rsidRPr="009A4D0A" w14:paraId="408AA8EF"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6DA625B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Equipment, furniture &amp; fixtures &amp; other property &amp; equipment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012C4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0B869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6310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04D1C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4EFD9F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64000</w:t>
            </w:r>
          </w:p>
        </w:tc>
      </w:tr>
      <w:tr w:rsidR="009A4D0A" w:rsidRPr="009A4D0A" w14:paraId="5FABDC8B"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27FB37D"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Land</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15940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DBE32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A5FB2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A0D28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61000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ABA145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62000</w:t>
            </w:r>
          </w:p>
        </w:tc>
      </w:tr>
      <w:tr w:rsidR="009A4D0A" w:rsidRPr="009A4D0A" w14:paraId="2E263B0D"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5F38B98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Construction in progress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31711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CD4AE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BFC3A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C0E26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8BAB7B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7000</w:t>
            </w:r>
          </w:p>
        </w:tc>
      </w:tr>
      <w:tr w:rsidR="009A4D0A" w:rsidRPr="009A4D0A" w14:paraId="7120A13C"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BB4204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Warehouse equipment &amp; other property &amp; equipment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47841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A210B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68DB9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BDA4F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96DB76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9000</w:t>
            </w:r>
          </w:p>
        </w:tc>
      </w:tr>
      <w:tr w:rsidR="009A4D0A" w:rsidRPr="009A4D0A" w14:paraId="7F3E994C"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BD65FF4"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Gross property &amp; equipment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2BCF8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1359000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C48D1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1376000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655D2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1315000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B4A5E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1282000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44D298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1238000</w:t>
            </w:r>
          </w:p>
        </w:tc>
      </w:tr>
      <w:tr w:rsidR="009A4D0A" w:rsidRPr="009A4D0A" w14:paraId="20F665DD"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1F8BEB7A"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Less: accumulated depreciation</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D56C5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911000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A9B78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923000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F23D7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881000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2CB11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843000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9933F7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779000</w:t>
            </w:r>
          </w:p>
        </w:tc>
      </w:tr>
      <w:tr w:rsidR="009A4D0A" w:rsidRPr="009A4D0A" w14:paraId="1083FE6E"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7AE9A9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Property &amp; equipment,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6D5B6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448000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57B83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453000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42C1F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434000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17EC1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439000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2C9BDD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459000</w:t>
            </w:r>
          </w:p>
        </w:tc>
      </w:tr>
      <w:tr w:rsidR="009A4D0A" w:rsidRPr="009A4D0A" w14:paraId="0216EB03"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2C46CF9"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Goodwill</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9560F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1892000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B62C7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1883000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D49C5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1707000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7D5CB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1710000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359AB8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1713000</w:t>
            </w:r>
          </w:p>
        </w:tc>
      </w:tr>
      <w:tr w:rsidR="009A4D0A" w:rsidRPr="009A4D0A" w14:paraId="0F4E534B"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44427AB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Acquisition-related intangibles,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6A101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F8959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8F2A5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57B10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57000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52E610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111000</w:t>
            </w:r>
          </w:p>
        </w:tc>
      </w:tr>
      <w:tr w:rsidR="009A4D0A" w:rsidRPr="009A4D0A" w14:paraId="07A2B295"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4ADE2BCD"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income taxes,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43433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769CD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6B308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286000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3292A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387000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A2FD24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13000</w:t>
            </w:r>
          </w:p>
        </w:tc>
      </w:tr>
      <w:tr w:rsidR="009A4D0A" w:rsidRPr="009A4D0A" w14:paraId="14B0BC4E"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7A9A7D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Other assets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99A9C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13A8C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3F114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864D4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24F3BA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131000</w:t>
            </w:r>
          </w:p>
        </w:tc>
      </w:tr>
      <w:tr w:rsidR="009A4D0A" w:rsidRPr="009A4D0A" w14:paraId="44DE5D28"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5B34C41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assets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548D3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8957000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B93F8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8584000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C8119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7718000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58848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7050000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1E04C5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6147000</w:t>
            </w:r>
          </w:p>
        </w:tc>
      </w:tr>
      <w:tr w:rsidR="009A4D0A" w:rsidRPr="009A4D0A" w14:paraId="65CBEF66"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1A8AB9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Accounts payable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CA799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A7A49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62360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BFB07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89000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0E0A94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68000</w:t>
            </w:r>
          </w:p>
        </w:tc>
      </w:tr>
      <w:tr w:rsidR="009A4D0A" w:rsidRPr="009A4D0A" w14:paraId="40BB6FF6"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5BAC02A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Accrued compensation &amp; benefits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EDCDE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238000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00001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282000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10339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99165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256000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CFA7DD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263000</w:t>
            </w:r>
          </w:p>
        </w:tc>
      </w:tr>
      <w:tr w:rsidR="009A4D0A" w:rsidRPr="009A4D0A" w14:paraId="41089B2D"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1C300B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Other accrued expenses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FE555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290000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1D297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CBECC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4688F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218000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802732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298000</w:t>
            </w:r>
          </w:p>
        </w:tc>
      </w:tr>
      <w:tr w:rsidR="009A4D0A" w:rsidRPr="009A4D0A" w14:paraId="24F6BF8A"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235D86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Accrued royalties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BCA79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76051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AE9E9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0719A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159000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96F7C0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119000</w:t>
            </w:r>
          </w:p>
        </w:tc>
      </w:tr>
      <w:tr w:rsidR="009A4D0A" w:rsidRPr="009A4D0A" w14:paraId="7890C4E6"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91EC92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Sales return &amp; price protection reserves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18BE7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4F52B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240F0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60E79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5A07AB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65A8E606"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64DEA68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Contingent consideration</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A6CC4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F78DB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04A21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CB027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029FBA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618685D2"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1B8D6DA4"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net revenue (other)</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B3FF4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55F4D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9E4A4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94306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77000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212AD1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114000</w:t>
            </w:r>
          </w:p>
        </w:tc>
      </w:tr>
      <w:tr w:rsidR="009A4D0A" w:rsidRPr="009A4D0A" w14:paraId="73AB1501"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0C8B3E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Accrued &amp; other current liabilities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AADDB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1052000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07A64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821000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836C2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789000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D9727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710000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909AFD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794000</w:t>
            </w:r>
          </w:p>
        </w:tc>
      </w:tr>
      <w:tr w:rsidR="009A4D0A" w:rsidRPr="009A4D0A" w14:paraId="11B10CE3"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551C20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0.75% convertible senior notes due 2016,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8D20F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378EA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69A45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D1A1F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73FB28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602000</w:t>
            </w:r>
          </w:p>
        </w:tc>
      </w:tr>
      <w:tr w:rsidR="009A4D0A" w:rsidRPr="009A4D0A" w14:paraId="39621119"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50480F25"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lastRenderedPageBreak/>
              <w:t>Deferred net revenue (online-enabled games)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79DE7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1100000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59A91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1622000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B8DA6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1539000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9F95B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1458000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23F16F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1283000</w:t>
            </w:r>
          </w:p>
        </w:tc>
      </w:tr>
      <w:tr w:rsidR="009A4D0A" w:rsidRPr="009A4D0A" w14:paraId="0D7C891F"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236CB78"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current liabilities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2876D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2265000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63CB1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2491000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72BF3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2415000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1E360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2418000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40A62C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2747000</w:t>
            </w:r>
          </w:p>
        </w:tc>
      </w:tr>
      <w:tr w:rsidR="009A4D0A" w:rsidRPr="009A4D0A" w14:paraId="792524D1"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DA5246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Senior notes,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7281D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994000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EB3F9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992000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F43A3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990000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69EAB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989000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35EDBD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640F57E6"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10251F9"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Income tax obligations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0F949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233000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C494E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928FA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9D089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15FD23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70000</w:t>
            </w:r>
          </w:p>
        </w:tc>
      </w:tr>
      <w:tr w:rsidR="009A4D0A" w:rsidRPr="009A4D0A" w14:paraId="1027B98B"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BABF1F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income taxes,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6D66C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0D551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85F09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6B317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C55519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80000</w:t>
            </w:r>
          </w:p>
        </w:tc>
      </w:tr>
      <w:tr w:rsidR="009A4D0A" w:rsidRPr="009A4D0A" w14:paraId="3B03C41E"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5F05B90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Other liabilities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9714F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0CD52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5AD9B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5F2E6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984E9A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183000</w:t>
            </w:r>
          </w:p>
        </w:tc>
      </w:tr>
      <w:tr w:rsidR="009A4D0A" w:rsidRPr="009A4D0A" w14:paraId="647AB469"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1A878BB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liabilities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06C22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3626000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52CBC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3989000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61407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3658000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F278D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3652000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812635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3080000</w:t>
            </w:r>
          </w:p>
        </w:tc>
      </w:tr>
      <w:tr w:rsidR="009A4D0A" w:rsidRPr="009A4D0A" w14:paraId="21C49058"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526800E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0.75% convertible senior notes due 2016</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F67E5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58EDA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A2D04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1C0F3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B81E89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31000</w:t>
            </w:r>
          </w:p>
        </w:tc>
      </w:tr>
      <w:tr w:rsidR="009A4D0A" w:rsidRPr="009A4D0A" w14:paraId="290327AF"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CE24F3F"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Common stock</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06DE1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8390D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57880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0B4AA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E3C43D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r>
      <w:tr w:rsidR="009A4D0A" w:rsidRPr="009A4D0A" w14:paraId="0713A1C2"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9162E3A"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Additional paid-in capital</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F8561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0C77D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657000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5F579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1049000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B1057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1349000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32B817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2127000</w:t>
            </w:r>
          </w:p>
        </w:tc>
      </w:tr>
      <w:tr w:rsidR="009A4D0A" w:rsidRPr="009A4D0A" w14:paraId="3555CA17"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173140EF"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Retained earnings (accumulated deficit)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94BFC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5358000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8F176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4062000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81B4E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3027000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056CF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2060000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6311DE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904000</w:t>
            </w:r>
          </w:p>
        </w:tc>
      </w:tr>
      <w:tr w:rsidR="009A4D0A" w:rsidRPr="009A4D0A" w14:paraId="41AD1FB3"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3736A8A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Unrealized gains (losses) on available-for-sale securities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F0CF6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51A03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7C839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D0623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D549A3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r>
      <w:tr w:rsidR="009A4D0A" w:rsidRPr="009A4D0A" w14:paraId="4DC2D364"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9A5E93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Unrealized gains (losses) on derivative instruments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F014D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5BF7E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4278E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24951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378D65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21000</w:t>
            </w:r>
          </w:p>
        </w:tc>
      </w:tr>
      <w:tr w:rsidR="009A4D0A" w:rsidRPr="009A4D0A" w14:paraId="426B074C"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463487B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Foreign currency translation adjustments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47FA0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50E53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76720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016AD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66C439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-16000</w:t>
            </w:r>
          </w:p>
        </w:tc>
      </w:tr>
      <w:tr w:rsidR="009A4D0A" w:rsidRPr="009A4D0A" w14:paraId="58576545"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1F03D4F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Accumulated other comprehensive income (loss)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0DBFD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85E9E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6B4FB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DDB83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6F0A0D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2000</w:t>
            </w:r>
          </w:p>
        </w:tc>
      </w:tr>
      <w:tr w:rsidR="009A4D0A" w:rsidRPr="009A4D0A" w14:paraId="15758875"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2BD4EA0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stockholders' equity</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21C4F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5331000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8EE03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4595000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3CBB0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4060000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DFF0F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3396000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62BB2C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3036000</w:t>
            </w:r>
          </w:p>
        </w:tc>
      </w:tr>
      <w:tr w:rsidR="009A4D0A" w:rsidRPr="009A4D0A" w14:paraId="25B15E36" w14:textId="77777777" w:rsidTr="009A4D0A">
        <w:trPr>
          <w:trHeight w:val="259"/>
        </w:trPr>
        <w:tc>
          <w:tcPr>
            <w:tcW w:w="2880" w:type="dxa"/>
            <w:tcBorders>
              <w:top w:val="single" w:sz="4" w:space="0" w:color="FFFFFF"/>
              <w:left w:val="nil"/>
              <w:bottom w:val="nil"/>
              <w:right w:val="single" w:sz="4" w:space="0" w:color="FFFFFF"/>
            </w:tcBorders>
            <w:shd w:val="clear" w:color="DCE6F1" w:fill="DCE6F1"/>
            <w:vAlign w:val="bottom"/>
            <w:hideMark/>
          </w:tcPr>
          <w:p w14:paraId="5900AB0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liabilities and shareholder's equity</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09ADD9B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8957000</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6D857DA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8584000</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3532FA9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7718000</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7FC3407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7048000</w:t>
            </w:r>
          </w:p>
        </w:tc>
        <w:tc>
          <w:tcPr>
            <w:tcW w:w="1296" w:type="dxa"/>
            <w:tcBorders>
              <w:top w:val="single" w:sz="4" w:space="0" w:color="FFFFFF"/>
              <w:left w:val="single" w:sz="4" w:space="0" w:color="FFFFFF"/>
              <w:bottom w:val="nil"/>
              <w:right w:val="nil"/>
            </w:tcBorders>
            <w:shd w:val="clear" w:color="DCE6F1" w:fill="DCE6F1"/>
            <w:noWrap/>
            <w:vAlign w:val="bottom"/>
            <w:hideMark/>
          </w:tcPr>
          <w:p w14:paraId="008C695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6116000</w:t>
            </w:r>
          </w:p>
        </w:tc>
      </w:tr>
    </w:tbl>
    <w:p w14:paraId="5F1AA50C" w14:textId="39DE8584" w:rsidR="0016642C" w:rsidRDefault="0016642C" w:rsidP="0084121B">
      <w:pPr>
        <w:shd w:val="clear" w:color="auto" w:fill="FFFFFF"/>
        <w:spacing w:line="480" w:lineRule="auto"/>
        <w:ind w:hanging="330"/>
        <w:rPr>
          <w:rFonts w:ascii="Times New Roman" w:eastAsia="Times New Roman" w:hAnsi="Times New Roman" w:cs="Times New Roman"/>
          <w:color w:val="333333"/>
          <w:sz w:val="24"/>
          <w:szCs w:val="24"/>
        </w:rPr>
      </w:pPr>
    </w:p>
    <w:tbl>
      <w:tblPr>
        <w:tblW w:w="9360" w:type="dxa"/>
        <w:tblLayout w:type="fixed"/>
        <w:tblLook w:val="04A0" w:firstRow="1" w:lastRow="0" w:firstColumn="1" w:lastColumn="0" w:noHBand="0" w:noVBand="1"/>
      </w:tblPr>
      <w:tblGrid>
        <w:gridCol w:w="2880"/>
        <w:gridCol w:w="1296"/>
        <w:gridCol w:w="1296"/>
        <w:gridCol w:w="1296"/>
        <w:gridCol w:w="1296"/>
        <w:gridCol w:w="1296"/>
      </w:tblGrid>
      <w:tr w:rsidR="009A4D0A" w:rsidRPr="009A4D0A" w14:paraId="3654523B" w14:textId="77777777" w:rsidTr="009A4D0A">
        <w:trPr>
          <w:trHeight w:val="405"/>
        </w:trPr>
        <w:tc>
          <w:tcPr>
            <w:tcW w:w="2880" w:type="dxa"/>
            <w:tcBorders>
              <w:top w:val="nil"/>
              <w:left w:val="nil"/>
              <w:bottom w:val="single" w:sz="12" w:space="0" w:color="4F81BD"/>
              <w:right w:val="nil"/>
            </w:tcBorders>
            <w:shd w:val="clear" w:color="000000" w:fill="B8CCE4"/>
            <w:hideMark/>
          </w:tcPr>
          <w:p w14:paraId="2FBC66E8" w14:textId="77777777" w:rsidR="009A4D0A" w:rsidRPr="009A4D0A" w:rsidRDefault="009A4D0A" w:rsidP="009A4D0A">
            <w:pPr>
              <w:spacing w:after="0" w:line="240" w:lineRule="auto"/>
              <w:rPr>
                <w:rFonts w:ascii="Calibri" w:eastAsia="Times New Roman" w:hAnsi="Calibri" w:cs="Calibri"/>
                <w:b/>
                <w:bCs/>
                <w:color w:val="1F497D"/>
                <w:sz w:val="24"/>
                <w:szCs w:val="24"/>
              </w:rPr>
            </w:pPr>
            <w:r w:rsidRPr="009A4D0A">
              <w:rPr>
                <w:rFonts w:ascii="Calibri" w:eastAsia="Times New Roman" w:hAnsi="Calibri" w:cs="Calibri"/>
                <w:b/>
                <w:bCs/>
                <w:color w:val="1F497D"/>
                <w:sz w:val="24"/>
                <w:szCs w:val="24"/>
              </w:rPr>
              <w:t>Appendix A</w:t>
            </w:r>
          </w:p>
        </w:tc>
        <w:tc>
          <w:tcPr>
            <w:tcW w:w="6480" w:type="dxa"/>
            <w:gridSpan w:val="5"/>
            <w:tcBorders>
              <w:top w:val="nil"/>
              <w:left w:val="nil"/>
              <w:bottom w:val="single" w:sz="12" w:space="0" w:color="4F81BD"/>
              <w:right w:val="nil"/>
            </w:tcBorders>
            <w:shd w:val="clear" w:color="000000" w:fill="B8CCE4"/>
            <w:noWrap/>
            <w:vAlign w:val="bottom"/>
            <w:hideMark/>
          </w:tcPr>
          <w:p w14:paraId="69C499FC" w14:textId="77777777" w:rsidR="009A4D0A" w:rsidRPr="009A4D0A" w:rsidRDefault="009A4D0A" w:rsidP="009A4D0A">
            <w:pPr>
              <w:spacing w:after="0" w:line="240" w:lineRule="auto"/>
              <w:jc w:val="center"/>
              <w:rPr>
                <w:rFonts w:ascii="Calibri" w:eastAsia="Times New Roman" w:hAnsi="Calibri" w:cs="Calibri"/>
                <w:b/>
                <w:bCs/>
                <w:color w:val="1F497D"/>
                <w:sz w:val="30"/>
                <w:szCs w:val="30"/>
              </w:rPr>
            </w:pPr>
            <w:r w:rsidRPr="009A4D0A">
              <w:rPr>
                <w:rFonts w:ascii="Calibri" w:eastAsia="Times New Roman" w:hAnsi="Calibri" w:cs="Calibri"/>
                <w:b/>
                <w:bCs/>
                <w:color w:val="1F497D"/>
                <w:sz w:val="30"/>
                <w:szCs w:val="30"/>
              </w:rPr>
              <w:t>Balance Sheet - Activision Blizzard</w:t>
            </w:r>
          </w:p>
        </w:tc>
      </w:tr>
      <w:tr w:rsidR="009A4D0A" w:rsidRPr="009A4D0A" w14:paraId="73EAF0D8" w14:textId="77777777" w:rsidTr="009A4D0A">
        <w:trPr>
          <w:trHeight w:val="270"/>
        </w:trPr>
        <w:tc>
          <w:tcPr>
            <w:tcW w:w="2880" w:type="dxa"/>
            <w:tcBorders>
              <w:top w:val="nil"/>
              <w:left w:val="nil"/>
              <w:bottom w:val="single" w:sz="12" w:space="0" w:color="FFFFFF"/>
              <w:right w:val="single" w:sz="4" w:space="0" w:color="FFFFFF"/>
            </w:tcBorders>
            <w:shd w:val="clear" w:color="4F81BD" w:fill="4F81BD"/>
            <w:noWrap/>
            <w:hideMark/>
          </w:tcPr>
          <w:p w14:paraId="5BE37AAC" w14:textId="77777777" w:rsidR="009A4D0A" w:rsidRPr="009A4D0A" w:rsidRDefault="009A4D0A" w:rsidP="009A4D0A">
            <w:pPr>
              <w:spacing w:after="0" w:line="240" w:lineRule="auto"/>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 xml:space="preserve"> </w:t>
            </w:r>
          </w:p>
        </w:tc>
        <w:tc>
          <w:tcPr>
            <w:tcW w:w="1296" w:type="dxa"/>
            <w:tcBorders>
              <w:top w:val="nil"/>
              <w:left w:val="single" w:sz="4" w:space="0" w:color="FFFFFF"/>
              <w:bottom w:val="single" w:sz="12" w:space="0" w:color="FFFFFF"/>
              <w:right w:val="single" w:sz="4" w:space="0" w:color="FFFFFF"/>
            </w:tcBorders>
            <w:shd w:val="clear" w:color="4F81BD" w:fill="4F81BD"/>
            <w:hideMark/>
          </w:tcPr>
          <w:p w14:paraId="40E5FF23"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2019</w:t>
            </w:r>
          </w:p>
        </w:tc>
        <w:tc>
          <w:tcPr>
            <w:tcW w:w="1296" w:type="dxa"/>
            <w:tcBorders>
              <w:top w:val="nil"/>
              <w:left w:val="single" w:sz="4" w:space="0" w:color="FFFFFF"/>
              <w:bottom w:val="single" w:sz="12" w:space="0" w:color="FFFFFF"/>
              <w:right w:val="single" w:sz="4" w:space="0" w:color="FFFFFF"/>
            </w:tcBorders>
            <w:shd w:val="clear" w:color="4F81BD" w:fill="4F81BD"/>
            <w:hideMark/>
          </w:tcPr>
          <w:p w14:paraId="5279B5B5"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2018</w:t>
            </w:r>
          </w:p>
        </w:tc>
        <w:tc>
          <w:tcPr>
            <w:tcW w:w="1296" w:type="dxa"/>
            <w:tcBorders>
              <w:top w:val="nil"/>
              <w:left w:val="single" w:sz="4" w:space="0" w:color="FFFFFF"/>
              <w:bottom w:val="single" w:sz="12" w:space="0" w:color="FFFFFF"/>
              <w:right w:val="single" w:sz="4" w:space="0" w:color="FFFFFF"/>
            </w:tcBorders>
            <w:shd w:val="clear" w:color="4F81BD" w:fill="4F81BD"/>
            <w:hideMark/>
          </w:tcPr>
          <w:p w14:paraId="223CD259"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2017</w:t>
            </w:r>
          </w:p>
        </w:tc>
        <w:tc>
          <w:tcPr>
            <w:tcW w:w="1296" w:type="dxa"/>
            <w:tcBorders>
              <w:top w:val="nil"/>
              <w:left w:val="single" w:sz="4" w:space="0" w:color="FFFFFF"/>
              <w:bottom w:val="single" w:sz="12" w:space="0" w:color="FFFFFF"/>
              <w:right w:val="single" w:sz="4" w:space="0" w:color="FFFFFF"/>
            </w:tcBorders>
            <w:shd w:val="clear" w:color="4F81BD" w:fill="4F81BD"/>
            <w:hideMark/>
          </w:tcPr>
          <w:p w14:paraId="125E61E6"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2016</w:t>
            </w:r>
          </w:p>
        </w:tc>
        <w:tc>
          <w:tcPr>
            <w:tcW w:w="1296" w:type="dxa"/>
            <w:tcBorders>
              <w:top w:val="nil"/>
              <w:left w:val="single" w:sz="4" w:space="0" w:color="FFFFFF"/>
              <w:bottom w:val="single" w:sz="12" w:space="0" w:color="FFFFFF"/>
              <w:right w:val="nil"/>
            </w:tcBorders>
            <w:shd w:val="clear" w:color="4F81BD" w:fill="4F81BD"/>
            <w:hideMark/>
          </w:tcPr>
          <w:p w14:paraId="49DE658F"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2015</w:t>
            </w:r>
          </w:p>
        </w:tc>
      </w:tr>
      <w:tr w:rsidR="009A4D0A" w:rsidRPr="009A4D0A" w14:paraId="097F5221"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17267CC4"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Cash</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8D2D1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437000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06B20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E9847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8CEBE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286000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A43E39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176000</w:t>
            </w:r>
          </w:p>
        </w:tc>
      </w:tr>
      <w:tr w:rsidR="009A4D0A" w:rsidRPr="009A4D0A" w14:paraId="04BE470C"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747E84E4"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Foreign government treasury bills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BD14E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D8390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10FAE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76CB6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38000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C65496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34000</w:t>
            </w:r>
          </w:p>
        </w:tc>
      </w:tr>
      <w:tr w:rsidR="009A4D0A" w:rsidRPr="009A4D0A" w14:paraId="28648F51"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12B83B4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Money market funds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C5E05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5320000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3B43A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3925000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9EB79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4405000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F684A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2921000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94C1F9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1613000</w:t>
            </w:r>
          </w:p>
        </w:tc>
      </w:tr>
      <w:tr w:rsidR="009A4D0A" w:rsidRPr="009A4D0A" w14:paraId="36B8FB07"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34DAEE65"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Cash &amp; cash equivalents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F8559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5794000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F90EF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4225000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C137D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4713000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88C9F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3245000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4B9CB4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1823000</w:t>
            </w:r>
          </w:p>
        </w:tc>
      </w:tr>
      <w:tr w:rsidR="009A4D0A" w:rsidRPr="009A4D0A" w14:paraId="0C9C390B"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7182FBE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Short-term investments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06CE3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230E2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E2715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21FC0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0CE7CF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8000</w:t>
            </w:r>
          </w:p>
        </w:tc>
      </w:tr>
      <w:tr w:rsidR="009A4D0A" w:rsidRPr="009A4D0A" w14:paraId="1A417F60"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6045086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Account receivable, gross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603F9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980000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74F9E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1225000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A499B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1197000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A8F5A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993000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5E556D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1022000</w:t>
            </w:r>
          </w:p>
        </w:tc>
      </w:tr>
      <w:tr w:rsidR="009A4D0A" w:rsidRPr="009A4D0A" w14:paraId="7DB9FEBA"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5DC056B9"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Less: allowances - accounts receivable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CBD0A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112BA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C579D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279000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E01FD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43198A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343000</w:t>
            </w:r>
          </w:p>
        </w:tc>
      </w:tr>
      <w:tr w:rsidR="009A4D0A" w:rsidRPr="009A4D0A" w14:paraId="5E807655"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636E3162"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Accounts receivable,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697AB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848000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95402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1035000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CA0BA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918000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2ED5F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732000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3D2868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679000</w:t>
            </w:r>
          </w:p>
        </w:tc>
      </w:tr>
      <w:tr w:rsidR="009A4D0A" w:rsidRPr="009A4D0A" w14:paraId="5ED19DCD"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0148940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Finished goods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64127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24EFA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0A436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C9155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F45AB8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101000</w:t>
            </w:r>
          </w:p>
        </w:tc>
      </w:tr>
      <w:tr w:rsidR="009A4D0A" w:rsidRPr="009A4D0A" w14:paraId="568B2FF8"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2A9F99D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Purchased parts &amp; components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DCA05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FF48D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9B801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8E77A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19043F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27000</w:t>
            </w:r>
          </w:p>
        </w:tc>
      </w:tr>
      <w:tr w:rsidR="009A4D0A" w:rsidRPr="009A4D0A" w14:paraId="09F8A2B9"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34BC1882"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Inventories,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04FDC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88B13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03FA8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AEDBA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49000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62D112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128000</w:t>
            </w:r>
          </w:p>
        </w:tc>
      </w:tr>
      <w:tr w:rsidR="009A4D0A" w:rsidRPr="009A4D0A" w14:paraId="580771B7"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22874F9A"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Software development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0589D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322000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86784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C09D2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367000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59897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412000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DFC02E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336000</w:t>
            </w:r>
          </w:p>
        </w:tc>
      </w:tr>
      <w:tr w:rsidR="009A4D0A" w:rsidRPr="009A4D0A" w14:paraId="0F06DE69"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30A25C9D"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Intellectual property licenses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C7B26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14CCB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FDC55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88A46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E17B85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30000</w:t>
            </w:r>
          </w:p>
        </w:tc>
      </w:tr>
      <w:tr w:rsidR="009A4D0A" w:rsidRPr="009A4D0A" w14:paraId="7E82BCAF"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158F139A"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Other current assets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EFA9E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296000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56BEA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539000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DD6A3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476000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41378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392000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4FCBA4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383000</w:t>
            </w:r>
          </w:p>
        </w:tc>
      </w:tr>
      <w:tr w:rsidR="009A4D0A" w:rsidRPr="009A4D0A" w14:paraId="29C1CC19"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788D7AAF"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current assets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A8882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7292000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7D293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6106000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A43C3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6520000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A7CEA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4830000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9AF6BA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3387000</w:t>
            </w:r>
          </w:p>
        </w:tc>
      </w:tr>
      <w:tr w:rsidR="009A4D0A" w:rsidRPr="009A4D0A" w14:paraId="66377C39"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0ABF9A2D"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Cash in escrow</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8A619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CE2B3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5C4BD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D5A0A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78075E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3561000</w:t>
            </w:r>
          </w:p>
        </w:tc>
      </w:tr>
      <w:tr w:rsidR="009A4D0A" w:rsidRPr="009A4D0A" w14:paraId="2C27A47E"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79A5931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Long-term investments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08A0E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11F67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291BA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17C3F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8C6C2A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9000</w:t>
            </w:r>
          </w:p>
        </w:tc>
      </w:tr>
      <w:tr w:rsidR="009A4D0A" w:rsidRPr="009A4D0A" w14:paraId="2BAE897E"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07DE455A"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lastRenderedPageBreak/>
              <w:t>Software development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173D6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9C4D2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4785E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E8375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39F272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80000</w:t>
            </w:r>
          </w:p>
        </w:tc>
      </w:tr>
      <w:tr w:rsidR="009A4D0A" w:rsidRPr="009A4D0A" w14:paraId="4EA24B72"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61DD7DB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Land</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2BBDC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1B4F6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C22EC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88AA8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20400D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r>
      <w:tr w:rsidR="009A4D0A" w:rsidRPr="009A4D0A" w14:paraId="04E28A87"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4335257D"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Buildings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EBF46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0C75B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0C432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78CA9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E00EF2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w:t>
            </w:r>
          </w:p>
        </w:tc>
      </w:tr>
      <w:tr w:rsidR="009A4D0A" w:rsidRPr="009A4D0A" w14:paraId="0C7C80B4"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01E8FFBD"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Leasehold improvements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A7ACF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A30EC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7B5FC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1653E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162000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E9E5DA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109000</w:t>
            </w:r>
          </w:p>
        </w:tc>
      </w:tr>
      <w:tr w:rsidR="009A4D0A" w:rsidRPr="009A4D0A" w14:paraId="2286981E"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1F623E7A"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Computer equipment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0393E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654000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4EE17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2D2B9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658000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EDF5B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560000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6F8D16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431000</w:t>
            </w:r>
          </w:p>
        </w:tc>
      </w:tr>
      <w:tr w:rsidR="009A4D0A" w:rsidRPr="009A4D0A" w14:paraId="3C60F89B"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20866AC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Office furniture &amp; other equipment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BA15E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E703B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85E07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01FBE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78000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72A49E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52000</w:t>
            </w:r>
          </w:p>
        </w:tc>
      </w:tr>
      <w:tr w:rsidR="009A4D0A" w:rsidRPr="009A4D0A" w14:paraId="000159AE"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6F2E312A"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cost of property &amp; equipment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2116C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74FB7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1052000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DFA5C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979000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E86B5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805000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16A8F1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597000</w:t>
            </w:r>
          </w:p>
        </w:tc>
      </w:tr>
      <w:tr w:rsidR="009A4D0A" w:rsidRPr="009A4D0A" w14:paraId="3789FDDF"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4EDA0B4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Less: accumulated depreciation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EF7CE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749000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98B1D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770000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EC71B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685000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D3015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547000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DE78FF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408000</w:t>
            </w:r>
          </w:p>
        </w:tc>
      </w:tr>
      <w:tr w:rsidR="009A4D0A" w:rsidRPr="009A4D0A" w14:paraId="6495A3C5"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43DD2E7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Property &amp; equipment,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4BD4D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30CE2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282000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61F27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294000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A02EA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258000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629971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189000</w:t>
            </w:r>
          </w:p>
        </w:tc>
      </w:tr>
      <w:tr w:rsidR="009A4D0A" w:rsidRPr="009A4D0A" w14:paraId="41F30762"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5BB89DA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income taxes,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85B8E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1293000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138BE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EBCF4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459000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7C8C6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283000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722ED3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275000</w:t>
            </w:r>
          </w:p>
        </w:tc>
      </w:tr>
      <w:tr w:rsidR="009A4D0A" w:rsidRPr="009A4D0A" w14:paraId="3863C25C"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236F217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Other assets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642E3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658000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4DFF9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482000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526D2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440000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32B80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401000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7CAC13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173000</w:t>
            </w:r>
          </w:p>
        </w:tc>
      </w:tr>
      <w:tr w:rsidR="009A4D0A" w:rsidRPr="009A4D0A" w14:paraId="010B4C61"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662419AA"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Intangible assets,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F96B3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531000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9322B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735000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A81C2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1106000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4DC5A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1858000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5A5B48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49000</w:t>
            </w:r>
          </w:p>
        </w:tc>
      </w:tr>
      <w:tr w:rsidR="009A4D0A" w:rsidRPr="009A4D0A" w14:paraId="2A9D749C"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297DD498"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Trademark &amp; trade names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519D4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0B1B1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1A702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4CA61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A8C7CD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433000</w:t>
            </w:r>
          </w:p>
        </w:tc>
      </w:tr>
      <w:tr w:rsidR="009A4D0A" w:rsidRPr="009A4D0A" w14:paraId="3F677149"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758F42D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Goodwill</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04E8F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9764000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6AD72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9762000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CCB13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9763000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B7276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9768000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46E881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7095000</w:t>
            </w:r>
          </w:p>
        </w:tc>
      </w:tr>
      <w:tr w:rsidR="009A4D0A" w:rsidRPr="009A4D0A" w14:paraId="44F1E945"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7E71C752"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assets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F891C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19845000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FD0B8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17835000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AF451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18668000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F9FBC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17452000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C3D40F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15251000</w:t>
            </w:r>
          </w:p>
        </w:tc>
      </w:tr>
      <w:tr w:rsidR="009A4D0A" w:rsidRPr="009A4D0A" w14:paraId="41CD8C34"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0F8ED5F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Accounts payable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B3D6D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292000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4531E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98F97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323000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A7E03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222000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A5173A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284000</w:t>
            </w:r>
          </w:p>
        </w:tc>
      </w:tr>
      <w:tr w:rsidR="009A4D0A" w:rsidRPr="009A4D0A" w14:paraId="7A12EAAF"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058880E2"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revenues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C5175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1375000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1D827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1493000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2377A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1929000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B2531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1628000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62AFC0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1702000</w:t>
            </w:r>
          </w:p>
        </w:tc>
      </w:tr>
      <w:tr w:rsidR="009A4D0A" w:rsidRPr="009A4D0A" w14:paraId="779D2E80"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42C2357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Accrued expenses &amp; other liabilities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8A9DE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1248000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D8882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896000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ECF75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1411000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D9D27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C6B335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625000</w:t>
            </w:r>
          </w:p>
        </w:tc>
      </w:tr>
      <w:tr w:rsidR="009A4D0A" w:rsidRPr="009A4D0A" w14:paraId="7D283702"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640DD08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current liabilities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06620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2915000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EA7D5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2642000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D7E05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3663000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C6CF6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2656000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40FCC9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2611000</w:t>
            </w:r>
          </w:p>
        </w:tc>
      </w:tr>
      <w:tr w:rsidR="009A4D0A" w:rsidRPr="009A4D0A" w14:paraId="5AFA241C"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0AD3417D"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Term loan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84125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C00A0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4D0BB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990000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C6C07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2690000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1D2B1C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1869000</w:t>
            </w:r>
          </w:p>
        </w:tc>
      </w:tr>
      <w:tr w:rsidR="009A4D0A" w:rsidRPr="009A4D0A" w14:paraId="20E570E8"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49482EB2"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Notes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344B6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2700000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3DF8C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2700000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7E9B7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3450000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1F6A6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2250000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E424F3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2250000</w:t>
            </w:r>
          </w:p>
        </w:tc>
      </w:tr>
      <w:tr w:rsidR="009A4D0A" w:rsidRPr="009A4D0A" w14:paraId="27E60AE9"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1D294728"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debt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9B78F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2700000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7C4E6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2700000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D7D75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4440000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6D51B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4940000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CE3BD6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4119000</w:t>
            </w:r>
          </w:p>
        </w:tc>
      </w:tr>
      <w:tr w:rsidR="009A4D0A" w:rsidRPr="009A4D0A" w14:paraId="3FB4A685"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3F3D551A"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Unamortized discount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F692B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67999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7C6CF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6DB05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-53000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812438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-40000</w:t>
            </w:r>
          </w:p>
        </w:tc>
      </w:tr>
      <w:tr w:rsidR="009A4D0A" w:rsidRPr="009A4D0A" w14:paraId="63D38D7D"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1065236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Unamortized discount &amp; deferred financing costs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0C975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15B0E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315E4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FA65A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D1B1A7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53A397B5"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45E7E614"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Long-term debt,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7255C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2675000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52465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2671000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61E36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4390000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5DD83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4887000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D3D4C4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4079000</w:t>
            </w:r>
          </w:p>
        </w:tc>
      </w:tr>
      <w:tr w:rsidR="009A4D0A" w:rsidRPr="009A4D0A" w14:paraId="50590B77"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45FFCDC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income taxes,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8608A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505000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070C2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6AA01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8D83B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44000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802D95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10000</w:t>
            </w:r>
          </w:p>
        </w:tc>
      </w:tr>
      <w:tr w:rsidR="009A4D0A" w:rsidRPr="009A4D0A" w14:paraId="27BB2813"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0319AFC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Other liabilities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79D73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945000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43067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1147000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5CFD9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1132000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7A1F2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746000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C0A71C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483000</w:t>
            </w:r>
          </w:p>
        </w:tc>
      </w:tr>
      <w:tr w:rsidR="009A4D0A" w:rsidRPr="009A4D0A" w14:paraId="66EC2024"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51FD196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liabilities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C4363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7040000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61E0B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6478000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F6671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9206000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DD569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8333000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D50918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7183000</w:t>
            </w:r>
          </w:p>
        </w:tc>
      </w:tr>
      <w:tr w:rsidR="009A4D0A" w:rsidRPr="009A4D0A" w14:paraId="0A239436"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0B99EA1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Additional paid-in capital</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B5FBC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11174000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88B41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10963000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71DC6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10747000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21338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10442000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CC2D99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10242000</w:t>
            </w:r>
          </w:p>
        </w:tc>
      </w:tr>
      <w:tr w:rsidR="009A4D0A" w:rsidRPr="009A4D0A" w14:paraId="78B4A746"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11F9A16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Less: treasury stock, at cost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B0BDD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5563000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6F8C0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5563000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5C388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5563000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F20F5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5563000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242D36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5637000</w:t>
            </w:r>
          </w:p>
        </w:tc>
      </w:tr>
      <w:tr w:rsidR="009A4D0A" w:rsidRPr="009A4D0A" w14:paraId="344855B8"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4582239D"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Retained earnings (accumulated deficit)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9D093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7813000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76576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6558000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03992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4916000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184B3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4869000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A0B084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4096000</w:t>
            </w:r>
          </w:p>
        </w:tc>
      </w:tr>
      <w:tr w:rsidR="009A4D0A" w:rsidRPr="009A4D0A" w14:paraId="001C2FC2"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560D3ED9"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Foreign currency translation adjustments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30DDD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-624000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BBD7E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-629000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576FE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-623000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6B908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-629000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993A48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-630000</w:t>
            </w:r>
          </w:p>
        </w:tc>
      </w:tr>
      <w:tr w:rsidR="009A4D0A" w:rsidRPr="009A4D0A" w14:paraId="35729445"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5460CEF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Unrealized gain (loss) on forward contracts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F18B8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82136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2E549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6F20E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04E432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w:t>
            </w:r>
          </w:p>
        </w:tc>
      </w:tr>
      <w:tr w:rsidR="009A4D0A" w:rsidRPr="009A4D0A" w14:paraId="3DC12260"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07AEECE4"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Unrealized gain on available-for-sale securities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C2A7C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ABDCB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3FBE7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79939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12118C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r>
      <w:tr w:rsidR="009A4D0A" w:rsidRPr="009A4D0A" w14:paraId="4468FDE6"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355095AA"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Accumulated other comprehensive income (loss)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8A7DF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-619000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0F331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-601000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27C26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-638000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5A13C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-629000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7B6A1C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-633000</w:t>
            </w:r>
          </w:p>
        </w:tc>
      </w:tr>
      <w:tr w:rsidR="009A4D0A" w:rsidRPr="009A4D0A" w14:paraId="42399AC4" w14:textId="77777777" w:rsidTr="009A4D0A">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0AE139A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shareholders' equity</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6D47A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12805000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62D44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11357000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76259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9462000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8E145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9119000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6AEFD5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8068000</w:t>
            </w:r>
          </w:p>
        </w:tc>
      </w:tr>
      <w:tr w:rsidR="009A4D0A" w:rsidRPr="009A4D0A" w14:paraId="342C48BE" w14:textId="77777777" w:rsidTr="009A4D0A">
        <w:trPr>
          <w:trHeight w:val="255"/>
        </w:trPr>
        <w:tc>
          <w:tcPr>
            <w:tcW w:w="2880" w:type="dxa"/>
            <w:tcBorders>
              <w:top w:val="single" w:sz="4" w:space="0" w:color="FFFFFF"/>
              <w:left w:val="nil"/>
              <w:bottom w:val="nil"/>
              <w:right w:val="single" w:sz="4" w:space="0" w:color="FFFFFF"/>
            </w:tcBorders>
            <w:shd w:val="clear" w:color="DCE6F1" w:fill="DCE6F1"/>
            <w:noWrap/>
            <w:vAlign w:val="bottom"/>
            <w:hideMark/>
          </w:tcPr>
          <w:p w14:paraId="36F338D4" w14:textId="6DBF92CA"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 xml:space="preserve">Total Liabilities and </w:t>
            </w:r>
            <w:r w:rsidR="00B71E2F" w:rsidRPr="009A4D0A">
              <w:rPr>
                <w:rFonts w:ascii="Arial" w:eastAsia="Times New Roman" w:hAnsi="Arial" w:cs="Arial"/>
                <w:color w:val="000000"/>
                <w:sz w:val="20"/>
                <w:szCs w:val="20"/>
              </w:rPr>
              <w:t>Stockholders’</w:t>
            </w:r>
            <w:r w:rsidRPr="009A4D0A">
              <w:rPr>
                <w:rFonts w:ascii="Arial" w:eastAsia="Times New Roman" w:hAnsi="Arial" w:cs="Arial"/>
                <w:color w:val="000000"/>
                <w:sz w:val="20"/>
                <w:szCs w:val="20"/>
              </w:rPr>
              <w:t xml:space="preserve"> Equity</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2BD7FEE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19845000</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1859936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17835000</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3F78502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18668000</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05A6AB9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17452000</w:t>
            </w:r>
          </w:p>
        </w:tc>
        <w:tc>
          <w:tcPr>
            <w:tcW w:w="1296" w:type="dxa"/>
            <w:tcBorders>
              <w:top w:val="single" w:sz="4" w:space="0" w:color="FFFFFF"/>
              <w:left w:val="single" w:sz="4" w:space="0" w:color="FFFFFF"/>
              <w:bottom w:val="nil"/>
              <w:right w:val="nil"/>
            </w:tcBorders>
            <w:shd w:val="clear" w:color="DCE6F1" w:fill="DCE6F1"/>
            <w:noWrap/>
            <w:vAlign w:val="bottom"/>
            <w:hideMark/>
          </w:tcPr>
          <w:p w14:paraId="6610F8F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15251000</w:t>
            </w:r>
          </w:p>
        </w:tc>
      </w:tr>
    </w:tbl>
    <w:p w14:paraId="28B4F4AB" w14:textId="3F1CD886" w:rsidR="009A4D0A" w:rsidRDefault="009A4D0A" w:rsidP="0084121B">
      <w:pPr>
        <w:shd w:val="clear" w:color="auto" w:fill="FFFFFF"/>
        <w:spacing w:line="480" w:lineRule="auto"/>
        <w:ind w:hanging="330"/>
        <w:rPr>
          <w:rFonts w:ascii="Times New Roman" w:eastAsia="Times New Roman" w:hAnsi="Times New Roman" w:cs="Times New Roman"/>
          <w:color w:val="333333"/>
          <w:sz w:val="24"/>
          <w:szCs w:val="24"/>
        </w:rPr>
      </w:pPr>
    </w:p>
    <w:p w14:paraId="19826CFB" w14:textId="0EF22DD6" w:rsidR="00250DA5" w:rsidRPr="00250DA5" w:rsidRDefault="00250DA5" w:rsidP="00250DA5">
      <w:pPr>
        <w:pStyle w:val="Heading1"/>
        <w:spacing w:line="480" w:lineRule="auto"/>
        <w:jc w:val="center"/>
        <w:rPr>
          <w:rFonts w:ascii="Times New Roman" w:eastAsia="Times New Roman" w:hAnsi="Times New Roman" w:cs="Times New Roman"/>
          <w:color w:val="auto"/>
          <w:sz w:val="24"/>
          <w:szCs w:val="24"/>
          <w:u w:val="single"/>
        </w:rPr>
      </w:pPr>
      <w:r w:rsidRPr="00250DA5">
        <w:rPr>
          <w:rFonts w:ascii="Times New Roman" w:eastAsia="Times New Roman" w:hAnsi="Times New Roman" w:cs="Times New Roman"/>
          <w:color w:val="auto"/>
          <w:sz w:val="24"/>
          <w:szCs w:val="24"/>
        </w:rPr>
        <w:lastRenderedPageBreak/>
        <w:t>Appendix</w:t>
      </w:r>
      <w:r>
        <w:rPr>
          <w:rFonts w:ascii="Times New Roman" w:eastAsia="Times New Roman" w:hAnsi="Times New Roman" w:cs="Times New Roman"/>
          <w:color w:val="auto"/>
          <w:sz w:val="24"/>
          <w:szCs w:val="24"/>
        </w:rPr>
        <w:t xml:space="preserve"> B</w:t>
      </w:r>
    </w:p>
    <w:tbl>
      <w:tblPr>
        <w:tblW w:w="9360" w:type="dxa"/>
        <w:tblLook w:val="04A0" w:firstRow="1" w:lastRow="0" w:firstColumn="1" w:lastColumn="0" w:noHBand="0" w:noVBand="1"/>
      </w:tblPr>
      <w:tblGrid>
        <w:gridCol w:w="2880"/>
        <w:gridCol w:w="1296"/>
        <w:gridCol w:w="1296"/>
        <w:gridCol w:w="1296"/>
        <w:gridCol w:w="1296"/>
        <w:gridCol w:w="1296"/>
      </w:tblGrid>
      <w:tr w:rsidR="009A4D0A" w:rsidRPr="009A4D0A" w14:paraId="7CA46254" w14:textId="77777777" w:rsidTr="009A4D0A">
        <w:trPr>
          <w:trHeight w:val="390"/>
        </w:trPr>
        <w:tc>
          <w:tcPr>
            <w:tcW w:w="2880" w:type="dxa"/>
            <w:tcBorders>
              <w:top w:val="nil"/>
              <w:left w:val="nil"/>
              <w:bottom w:val="nil"/>
              <w:right w:val="nil"/>
            </w:tcBorders>
            <w:shd w:val="clear" w:color="000000" w:fill="B8CCE4"/>
            <w:vAlign w:val="bottom"/>
            <w:hideMark/>
          </w:tcPr>
          <w:p w14:paraId="43D7161E" w14:textId="77777777" w:rsidR="009A4D0A" w:rsidRPr="009A4D0A" w:rsidRDefault="009A4D0A" w:rsidP="009A4D0A">
            <w:pPr>
              <w:spacing w:after="0" w:line="240" w:lineRule="auto"/>
              <w:rPr>
                <w:rFonts w:ascii="Calibri" w:eastAsia="Times New Roman" w:hAnsi="Calibri" w:cs="Calibri"/>
                <w:b/>
                <w:bCs/>
                <w:color w:val="1F497D"/>
                <w:sz w:val="24"/>
                <w:szCs w:val="24"/>
              </w:rPr>
            </w:pPr>
            <w:r w:rsidRPr="009A4D0A">
              <w:rPr>
                <w:rFonts w:ascii="Calibri" w:eastAsia="Times New Roman" w:hAnsi="Calibri" w:cs="Calibri"/>
                <w:b/>
                <w:bCs/>
                <w:color w:val="1F497D"/>
                <w:sz w:val="24"/>
                <w:szCs w:val="24"/>
              </w:rPr>
              <w:t>Appendix B</w:t>
            </w:r>
          </w:p>
        </w:tc>
        <w:tc>
          <w:tcPr>
            <w:tcW w:w="6480" w:type="dxa"/>
            <w:gridSpan w:val="5"/>
            <w:tcBorders>
              <w:top w:val="nil"/>
              <w:left w:val="nil"/>
              <w:bottom w:val="nil"/>
              <w:right w:val="nil"/>
            </w:tcBorders>
            <w:shd w:val="clear" w:color="000000" w:fill="B8CCE4"/>
            <w:noWrap/>
            <w:vAlign w:val="bottom"/>
            <w:hideMark/>
          </w:tcPr>
          <w:p w14:paraId="2D7856BD" w14:textId="77777777" w:rsidR="009A4D0A" w:rsidRPr="009A4D0A" w:rsidRDefault="009A4D0A" w:rsidP="009A4D0A">
            <w:pPr>
              <w:spacing w:after="0" w:line="240" w:lineRule="auto"/>
              <w:jc w:val="center"/>
              <w:rPr>
                <w:rFonts w:ascii="Calibri" w:eastAsia="Times New Roman" w:hAnsi="Calibri" w:cs="Calibri"/>
                <w:b/>
                <w:bCs/>
                <w:color w:val="1F497D"/>
                <w:sz w:val="30"/>
                <w:szCs w:val="30"/>
              </w:rPr>
            </w:pPr>
            <w:r w:rsidRPr="009A4D0A">
              <w:rPr>
                <w:rFonts w:ascii="Calibri" w:eastAsia="Times New Roman" w:hAnsi="Calibri" w:cs="Calibri"/>
                <w:b/>
                <w:bCs/>
                <w:color w:val="1F497D"/>
                <w:sz w:val="30"/>
                <w:szCs w:val="30"/>
              </w:rPr>
              <w:t>Electronic Arts - Income Statement</w:t>
            </w:r>
          </w:p>
        </w:tc>
      </w:tr>
      <w:tr w:rsidR="009A4D0A" w:rsidRPr="009A4D0A" w14:paraId="63040C31" w14:textId="77777777" w:rsidTr="009A4D0A">
        <w:trPr>
          <w:trHeight w:val="255"/>
        </w:trPr>
        <w:tc>
          <w:tcPr>
            <w:tcW w:w="2880" w:type="dxa"/>
            <w:tcBorders>
              <w:top w:val="single" w:sz="12" w:space="0" w:color="4F81BD"/>
              <w:left w:val="nil"/>
              <w:bottom w:val="single" w:sz="12" w:space="0" w:color="FFFFFF"/>
              <w:right w:val="single" w:sz="4" w:space="0" w:color="FFFFFF"/>
            </w:tcBorders>
            <w:shd w:val="clear" w:color="4F81BD" w:fill="4F81BD"/>
            <w:hideMark/>
          </w:tcPr>
          <w:p w14:paraId="495D3045" w14:textId="77777777" w:rsidR="009A4D0A" w:rsidRPr="009A4D0A" w:rsidRDefault="009A4D0A" w:rsidP="009A4D0A">
            <w:pPr>
              <w:spacing w:after="0" w:line="240" w:lineRule="auto"/>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Ratio</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hideMark/>
          </w:tcPr>
          <w:p w14:paraId="1711955F"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2019</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hideMark/>
          </w:tcPr>
          <w:p w14:paraId="189C09DF"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2018</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hideMark/>
          </w:tcPr>
          <w:p w14:paraId="353377DE"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2017</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hideMark/>
          </w:tcPr>
          <w:p w14:paraId="128A60E9"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2016</w:t>
            </w:r>
          </w:p>
        </w:tc>
        <w:tc>
          <w:tcPr>
            <w:tcW w:w="1296" w:type="dxa"/>
            <w:tcBorders>
              <w:top w:val="single" w:sz="12" w:space="0" w:color="4F81BD"/>
              <w:left w:val="single" w:sz="4" w:space="0" w:color="FFFFFF"/>
              <w:bottom w:val="single" w:sz="12" w:space="0" w:color="FFFFFF"/>
              <w:right w:val="nil"/>
            </w:tcBorders>
            <w:shd w:val="clear" w:color="4F81BD" w:fill="4F81BD"/>
            <w:hideMark/>
          </w:tcPr>
          <w:p w14:paraId="61B47547"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2015</w:t>
            </w:r>
          </w:p>
        </w:tc>
      </w:tr>
      <w:tr w:rsidR="009A4D0A" w:rsidRPr="009A4D0A" w14:paraId="09ED51C8"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D54A71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Product revenue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9BF24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1593000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AA797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2586000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02A4B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2640000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76F70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2497000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DF0620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2568000</w:t>
            </w:r>
          </w:p>
        </w:tc>
      </w:tr>
      <w:tr w:rsidR="009A4D0A" w:rsidRPr="009A4D0A" w14:paraId="73088D6D"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06711C9"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Service &amp; other revenue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224BB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3357000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BED94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2564000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A2956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2205000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4A0F4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1899000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33994A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1947000</w:t>
            </w:r>
          </w:p>
        </w:tc>
      </w:tr>
      <w:tr w:rsidR="009A4D0A" w:rsidRPr="009A4D0A" w14:paraId="495A43A4"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2A2688B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net revenue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584AC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4950000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39436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5150000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DCA0F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4845000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17DA9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4396000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529381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4515000</w:t>
            </w:r>
          </w:p>
        </w:tc>
      </w:tr>
      <w:tr w:rsidR="009A4D0A" w:rsidRPr="009A4D0A" w14:paraId="105B1FE6"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6E1D0B5"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Cost of revenue: product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10795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517000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0B99F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822000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1E0AF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893000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96AF9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938000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5DA3CC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1028000</w:t>
            </w:r>
          </w:p>
        </w:tc>
      </w:tr>
      <w:tr w:rsidR="009A4D0A" w:rsidRPr="009A4D0A" w14:paraId="1D87ED07"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12E3807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Cost of revenue: service &amp; other</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C41AC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805000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439A4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455000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81B3A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D5500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416000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26AFD6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401000</w:t>
            </w:r>
          </w:p>
        </w:tc>
      </w:tr>
      <w:tr w:rsidR="009A4D0A" w:rsidRPr="009A4D0A" w14:paraId="651B87E7"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29CD72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cost of revenue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F689B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1322000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0E4B8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1277000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74A2A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1298000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8FEF0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1354000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AD0BE2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1429000</w:t>
            </w:r>
          </w:p>
        </w:tc>
      </w:tr>
      <w:tr w:rsidR="009A4D0A" w:rsidRPr="009A4D0A" w14:paraId="47104B4B"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6C39898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Gross profit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5CD28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3628000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04AB5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3873000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2E8BB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3547000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B2B42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3042000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EB66A1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3086000</w:t>
            </w:r>
          </w:p>
        </w:tc>
      </w:tr>
      <w:tr w:rsidR="009A4D0A" w:rsidRPr="009A4D0A" w14:paraId="3CF974D9"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572567C4"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Research &amp; development expense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0ABD2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1433000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07005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1320000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A509E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1205000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78FBB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1109000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D5E7D4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1094000</w:t>
            </w:r>
          </w:p>
        </w:tc>
      </w:tr>
      <w:tr w:rsidR="009A4D0A" w:rsidRPr="009A4D0A" w14:paraId="6EBF26BE"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4904711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Marketing &amp; sales expense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72508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88ED9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641000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10895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673000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707D6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622000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D87D33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647000</w:t>
            </w:r>
          </w:p>
        </w:tc>
      </w:tr>
      <w:tr w:rsidR="009A4D0A" w:rsidRPr="009A4D0A" w14:paraId="513F422E"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63E3C9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General &amp; administrative expense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A7202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460000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8A6ED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469000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C9DCD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439000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29A4D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406000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2A64F5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386000</w:t>
            </w:r>
          </w:p>
        </w:tc>
      </w:tr>
      <w:tr w:rsidR="009A4D0A" w:rsidRPr="009A4D0A" w14:paraId="4C5C14C2"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2DABCAD"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Acquisition-related contingent consideration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84E3C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234C9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3D508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46726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A9FB7D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r>
      <w:tr w:rsidR="009A4D0A" w:rsidRPr="009A4D0A" w14:paraId="08183C5D"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0395410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Amortization of intangibles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EC684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68871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13526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4CF33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71A541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14000</w:t>
            </w:r>
          </w:p>
        </w:tc>
      </w:tr>
      <w:tr w:rsidR="009A4D0A" w:rsidRPr="009A4D0A" w14:paraId="4ABB062B"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4D07EFF"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operating expenses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A4D3D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2632000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603C8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2439000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FE8A9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2323000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16A4C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2144000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8BB766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2138000</w:t>
            </w:r>
          </w:p>
        </w:tc>
      </w:tr>
      <w:tr w:rsidR="009A4D0A" w:rsidRPr="009A4D0A" w14:paraId="61A6D25C"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03E8800F"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Operating income (loss)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856A2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996000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466EE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1434000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195CB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1224000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07FA8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898000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C220F0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948000</w:t>
            </w:r>
          </w:p>
        </w:tc>
      </w:tr>
      <w:tr w:rsidR="009A4D0A" w:rsidRPr="009A4D0A" w14:paraId="0E81296C"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57E0FF5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Loss on conversion of convertible notes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AFB5D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DFFD2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FEB6E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BC771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230A04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093E6DF7"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C1ECA1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Amortization of debt discount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3C5EA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07F54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5958A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AA801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100DD8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22000</w:t>
            </w:r>
          </w:p>
        </w:tc>
      </w:tr>
      <w:tr w:rsidR="009A4D0A" w:rsidRPr="009A4D0A" w14:paraId="730ABB2A"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3B0D56E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Amortization of debt issuance costs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CAA76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8577C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5016A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82FCD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42964B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r>
      <w:tr w:rsidR="009A4D0A" w:rsidRPr="009A4D0A" w14:paraId="2196B948"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DBB3B0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Coupon interest expense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D5919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3EC09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6F5B4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0DF81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1F2FB1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5000</w:t>
            </w:r>
          </w:p>
        </w:tc>
      </w:tr>
      <w:tr w:rsidR="009A4D0A" w:rsidRPr="009A4D0A" w14:paraId="22E99185"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E4ECD88"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Other interest expense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2FB41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1CE6D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CFC18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41586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AEA206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r>
      <w:tr w:rsidR="009A4D0A" w:rsidRPr="009A4D0A" w14:paraId="4DA95F9A"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580521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Interest expense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DA0DB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4D7C9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B1E63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DA277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28000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0281B3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31000</w:t>
            </w:r>
          </w:p>
        </w:tc>
      </w:tr>
      <w:tr w:rsidR="009A4D0A" w:rsidRPr="009A4D0A" w14:paraId="12113992"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5C5878F"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Interest income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EE796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B33E9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7574E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12D5C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59F0F0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10000</w:t>
            </w:r>
          </w:p>
        </w:tc>
      </w:tr>
      <w:tr w:rsidR="009A4D0A" w:rsidRPr="009A4D0A" w14:paraId="0B178A1D"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9DA5355"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Net gain (loss) on foreign currency transactions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BBADB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02E93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B8D5B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ECA4C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27B311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-62000</w:t>
            </w:r>
          </w:p>
        </w:tc>
      </w:tr>
      <w:tr w:rsidR="009A4D0A" w:rsidRPr="009A4D0A" w14:paraId="5BE57F7E"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11A41F2"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Net gain (loss) on foreign currency forward contracts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60985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C1EB2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66CF9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36DC4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FAE46F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59000</w:t>
            </w:r>
          </w:p>
        </w:tc>
      </w:tr>
      <w:tr w:rsidR="009A4D0A" w:rsidRPr="009A4D0A" w14:paraId="02808A19"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E58F81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Other income (expense),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3252B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9CE1F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95C19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31415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CA4348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r>
      <w:tr w:rsidR="009A4D0A" w:rsidRPr="009A4D0A" w14:paraId="5ECAB133"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183E8D25"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Interest &amp; other income (expense),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B9706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1AE7F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424E9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CED35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18ECFE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-23000</w:t>
            </w:r>
          </w:p>
        </w:tc>
      </w:tr>
      <w:tr w:rsidR="009A4D0A" w:rsidRPr="009A4D0A" w14:paraId="7730F52C"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0FCDB08"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Income (loss) before provision for (benefit from) income taxes - domestic</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6B774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CADF0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440000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DB681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382000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34EBB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133000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64459A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232000</w:t>
            </w:r>
          </w:p>
        </w:tc>
      </w:tr>
      <w:tr w:rsidR="009A4D0A" w:rsidRPr="009A4D0A" w14:paraId="094FFA43"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C3A831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Income (loss) before provision for (benefit from) income taxes - foreign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C39E4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909000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9B3DD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9F4DB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828000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75811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744000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8E6CCE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693000</w:t>
            </w:r>
          </w:p>
        </w:tc>
      </w:tr>
      <w:tr w:rsidR="009A4D0A" w:rsidRPr="009A4D0A" w14:paraId="3AD43933"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5C409A3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Income (loss) before provision for (benefit from) income taxes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69A49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1079000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DD43C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1449000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7DDED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1210000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DBBF9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877000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F52E97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925000</w:t>
            </w:r>
          </w:p>
        </w:tc>
      </w:tr>
      <w:tr w:rsidR="009A4D0A" w:rsidRPr="009A4D0A" w14:paraId="77181719"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AA33CB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Current federal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5DBEA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67FC1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3EB5A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CBA37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69000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54A868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10000</w:t>
            </w:r>
          </w:p>
        </w:tc>
      </w:tr>
      <w:tr w:rsidR="009A4D0A" w:rsidRPr="009A4D0A" w14:paraId="1BD4567B"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23B1869"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Current state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24579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407DB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24A59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F2258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A961C9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2B64759C"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3C065CF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lastRenderedPageBreak/>
              <w:t>Current foreign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283C2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9788C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66ABA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D5224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991D9F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21000</w:t>
            </w:r>
          </w:p>
        </w:tc>
      </w:tr>
      <w:tr w:rsidR="009A4D0A" w:rsidRPr="009A4D0A" w14:paraId="109C2839"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4800AC1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current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D63CE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EB484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3FB36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D1CBA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37DEA8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31000</w:t>
            </w:r>
          </w:p>
        </w:tc>
      </w:tr>
      <w:tr w:rsidR="009A4D0A" w:rsidRPr="009A4D0A" w14:paraId="5518F36D"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51BFD5F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federal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814F7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D221B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63ED4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9386E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-376000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0AC17C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17000</w:t>
            </w:r>
          </w:p>
        </w:tc>
      </w:tr>
      <w:tr w:rsidR="009A4D0A" w:rsidRPr="009A4D0A" w14:paraId="7416A5EB"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93F7709"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state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C6775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DC89F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A48D6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D1CB1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B68F1F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22BDCE27"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3E8182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foreign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F26D8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5F943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C64EE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CE125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FA186D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2000</w:t>
            </w:r>
          </w:p>
        </w:tc>
      </w:tr>
      <w:tr w:rsidR="009A4D0A" w:rsidRPr="009A4D0A" w14:paraId="1D38D368"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669A79E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deferred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441EB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5B0D0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203000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0E8D8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57FCF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-389000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E90347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19000</w:t>
            </w:r>
          </w:p>
        </w:tc>
      </w:tr>
      <w:tr w:rsidR="009A4D0A" w:rsidRPr="009A4D0A" w14:paraId="5D48F4E1"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812F60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Provision for (benefit from) income taxes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753BB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7FC44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999CA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1B89C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-279000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182AD8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50000</w:t>
            </w:r>
          </w:p>
        </w:tc>
      </w:tr>
      <w:tr w:rsidR="009A4D0A" w:rsidRPr="009A4D0A" w14:paraId="7F2C5F09"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52E742D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Net income (loss)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FC098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1019000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0718B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1043000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4C5B6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967000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5A80D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1156000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60D817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875000</w:t>
            </w:r>
          </w:p>
        </w:tc>
      </w:tr>
      <w:tr w:rsidR="009A4D0A" w:rsidRPr="009A4D0A" w14:paraId="799410D0"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6446CE15"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Weighted average shares outstanding - basic</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5CF88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B771B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9354E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2DC5D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A0B965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311000</w:t>
            </w:r>
          </w:p>
        </w:tc>
      </w:tr>
      <w:tr w:rsidR="009A4D0A" w:rsidRPr="009A4D0A" w14:paraId="368334A4"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4055E56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Weighted average shares outstanding - diluted</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4E569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5CC53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0660B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BA0E6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3C638F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325000</w:t>
            </w:r>
          </w:p>
        </w:tc>
      </w:tr>
      <w:tr w:rsidR="009A4D0A" w:rsidRPr="009A4D0A" w14:paraId="68182F8F"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62874F2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Year end shares outstanding</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F50B6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298107</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C4102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306370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AD04A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308367</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9976D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300602</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87192C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309681</w:t>
            </w:r>
          </w:p>
        </w:tc>
      </w:tr>
      <w:tr w:rsidR="009A4D0A" w:rsidRPr="009A4D0A" w14:paraId="61B6A08D"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2E5704C"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Net income (loss) per share - basic</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11C3F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3.36</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96AE1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3.39</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A1D2B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3.19</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1E9EC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3.73</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2BF589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2.81</w:t>
            </w:r>
          </w:p>
        </w:tc>
      </w:tr>
      <w:tr w:rsidR="009A4D0A" w:rsidRPr="009A4D0A" w14:paraId="77C5E8F2"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363A193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Net income (loss) per share - diluted</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E529B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3.33</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7E452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3.34</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306DD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3.08</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F2CE8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3.5</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FEA3A2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2.69</w:t>
            </w:r>
          </w:p>
        </w:tc>
      </w:tr>
      <w:tr w:rsidR="009A4D0A" w:rsidRPr="009A4D0A" w14:paraId="63DCFCEF"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E8672A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Number of full time employees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E8D89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9700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CAF38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9300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EE2D0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8800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4175D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8500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B52002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8400</w:t>
            </w:r>
          </w:p>
        </w:tc>
      </w:tr>
      <w:tr w:rsidR="009A4D0A" w:rsidRPr="009A4D0A" w14:paraId="2E34E0AD" w14:textId="77777777" w:rsidTr="009A4D0A">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FE0471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Number of common stockholders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136D1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849</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4D906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1159</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A9B95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1230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37934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1305</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91AA4E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1324</w:t>
            </w:r>
          </w:p>
        </w:tc>
      </w:tr>
      <w:tr w:rsidR="009A4D0A" w:rsidRPr="009A4D0A" w14:paraId="5DB59B89" w14:textId="77777777" w:rsidTr="009A4D0A">
        <w:trPr>
          <w:trHeight w:val="259"/>
        </w:trPr>
        <w:tc>
          <w:tcPr>
            <w:tcW w:w="2880" w:type="dxa"/>
            <w:tcBorders>
              <w:top w:val="single" w:sz="4" w:space="0" w:color="FFFFFF"/>
              <w:left w:val="nil"/>
              <w:bottom w:val="nil"/>
              <w:right w:val="single" w:sz="4" w:space="0" w:color="FFFFFF"/>
            </w:tcBorders>
            <w:shd w:val="clear" w:color="DCE6F1" w:fill="DCE6F1"/>
            <w:vAlign w:val="bottom"/>
            <w:hideMark/>
          </w:tcPr>
          <w:p w14:paraId="3D9C0D8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Foreign currency translation adjustments</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26BF2B1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-21000</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0EE3E1C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18000</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575A38E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-17000</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3B46086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-15000</w:t>
            </w:r>
          </w:p>
        </w:tc>
        <w:tc>
          <w:tcPr>
            <w:tcW w:w="1296" w:type="dxa"/>
            <w:tcBorders>
              <w:top w:val="single" w:sz="4" w:space="0" w:color="FFFFFF"/>
              <w:left w:val="single" w:sz="4" w:space="0" w:color="FFFFFF"/>
              <w:bottom w:val="nil"/>
              <w:right w:val="nil"/>
            </w:tcBorders>
            <w:shd w:val="clear" w:color="DCE6F1" w:fill="DCE6F1"/>
            <w:noWrap/>
            <w:vAlign w:val="bottom"/>
            <w:hideMark/>
          </w:tcPr>
          <w:p w14:paraId="08BD356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bl>
    <w:p w14:paraId="7104A2BB" w14:textId="77777777" w:rsidR="009A4D0A" w:rsidRDefault="009A4D0A" w:rsidP="00515718">
      <w:pPr>
        <w:shd w:val="clear" w:color="auto" w:fill="FFFFFF"/>
        <w:spacing w:line="480" w:lineRule="auto"/>
        <w:rPr>
          <w:rFonts w:ascii="Times New Roman" w:eastAsia="Times New Roman" w:hAnsi="Times New Roman" w:cs="Times New Roman"/>
          <w:color w:val="333333"/>
          <w:sz w:val="24"/>
          <w:szCs w:val="24"/>
        </w:rPr>
      </w:pPr>
    </w:p>
    <w:tbl>
      <w:tblPr>
        <w:tblW w:w="9360" w:type="dxa"/>
        <w:tblLayout w:type="fixed"/>
        <w:tblLook w:val="04A0" w:firstRow="1" w:lastRow="0" w:firstColumn="1" w:lastColumn="0" w:noHBand="0" w:noVBand="1"/>
      </w:tblPr>
      <w:tblGrid>
        <w:gridCol w:w="2880"/>
        <w:gridCol w:w="1296"/>
        <w:gridCol w:w="1296"/>
        <w:gridCol w:w="1296"/>
        <w:gridCol w:w="1296"/>
        <w:gridCol w:w="1296"/>
      </w:tblGrid>
      <w:tr w:rsidR="00515718" w:rsidRPr="009A4D0A" w14:paraId="185C7885" w14:textId="77777777" w:rsidTr="00173A69">
        <w:trPr>
          <w:trHeight w:val="360"/>
        </w:trPr>
        <w:tc>
          <w:tcPr>
            <w:tcW w:w="2880" w:type="dxa"/>
            <w:tcBorders>
              <w:top w:val="nil"/>
              <w:left w:val="nil"/>
              <w:bottom w:val="nil"/>
              <w:right w:val="nil"/>
            </w:tcBorders>
            <w:shd w:val="clear" w:color="000000" w:fill="B8CCE4"/>
            <w:hideMark/>
          </w:tcPr>
          <w:p w14:paraId="06CBC492" w14:textId="77777777" w:rsidR="009A4D0A" w:rsidRPr="009A4D0A" w:rsidRDefault="009A4D0A" w:rsidP="009A4D0A">
            <w:pPr>
              <w:spacing w:after="0" w:line="240" w:lineRule="auto"/>
              <w:rPr>
                <w:rFonts w:ascii="Calibri" w:eastAsia="Times New Roman" w:hAnsi="Calibri" w:cs="Calibri"/>
                <w:b/>
                <w:bCs/>
                <w:color w:val="1F497D"/>
                <w:sz w:val="24"/>
                <w:szCs w:val="24"/>
              </w:rPr>
            </w:pPr>
            <w:r w:rsidRPr="009A4D0A">
              <w:rPr>
                <w:rFonts w:ascii="Calibri" w:eastAsia="Times New Roman" w:hAnsi="Calibri" w:cs="Calibri"/>
                <w:b/>
                <w:bCs/>
                <w:color w:val="1F497D"/>
                <w:sz w:val="24"/>
                <w:szCs w:val="24"/>
              </w:rPr>
              <w:t>Appendix B</w:t>
            </w:r>
          </w:p>
        </w:tc>
        <w:tc>
          <w:tcPr>
            <w:tcW w:w="6480" w:type="dxa"/>
            <w:gridSpan w:val="5"/>
            <w:tcBorders>
              <w:top w:val="nil"/>
              <w:left w:val="nil"/>
              <w:bottom w:val="nil"/>
              <w:right w:val="nil"/>
            </w:tcBorders>
            <w:shd w:val="clear" w:color="000000" w:fill="B8CCE4"/>
            <w:noWrap/>
            <w:vAlign w:val="bottom"/>
            <w:hideMark/>
          </w:tcPr>
          <w:p w14:paraId="5240BB40" w14:textId="77777777" w:rsidR="009A4D0A" w:rsidRPr="009A4D0A" w:rsidRDefault="009A4D0A" w:rsidP="009A4D0A">
            <w:pPr>
              <w:spacing w:after="0" w:line="240" w:lineRule="auto"/>
              <w:jc w:val="center"/>
              <w:rPr>
                <w:rFonts w:ascii="Calibri" w:eastAsia="Times New Roman" w:hAnsi="Calibri" w:cs="Calibri"/>
                <w:b/>
                <w:bCs/>
                <w:color w:val="1F497D"/>
                <w:sz w:val="30"/>
                <w:szCs w:val="30"/>
              </w:rPr>
            </w:pPr>
            <w:r w:rsidRPr="009A4D0A">
              <w:rPr>
                <w:rFonts w:ascii="Calibri" w:eastAsia="Times New Roman" w:hAnsi="Calibri" w:cs="Calibri"/>
                <w:b/>
                <w:bCs/>
                <w:color w:val="1F497D"/>
                <w:sz w:val="30"/>
                <w:szCs w:val="30"/>
              </w:rPr>
              <w:t>Income Statement - Electronic Arts</w:t>
            </w:r>
          </w:p>
        </w:tc>
      </w:tr>
      <w:tr w:rsidR="009A4D0A" w:rsidRPr="009A4D0A" w14:paraId="19E7C71E" w14:textId="77777777" w:rsidTr="00515718">
        <w:trPr>
          <w:trHeight w:val="255"/>
        </w:trPr>
        <w:tc>
          <w:tcPr>
            <w:tcW w:w="2880" w:type="dxa"/>
            <w:tcBorders>
              <w:top w:val="single" w:sz="12" w:space="0" w:color="4F81BD"/>
              <w:left w:val="nil"/>
              <w:bottom w:val="single" w:sz="12" w:space="0" w:color="FFFFFF"/>
              <w:right w:val="single" w:sz="4" w:space="0" w:color="FFFFFF"/>
            </w:tcBorders>
            <w:shd w:val="clear" w:color="4F81BD" w:fill="4F81BD"/>
            <w:noWrap/>
            <w:hideMark/>
          </w:tcPr>
          <w:p w14:paraId="2E8839DE" w14:textId="77777777" w:rsidR="009A4D0A" w:rsidRPr="009A4D0A" w:rsidRDefault="009A4D0A" w:rsidP="009A4D0A">
            <w:pPr>
              <w:spacing w:after="0" w:line="240" w:lineRule="auto"/>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 xml:space="preserve"> </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hideMark/>
          </w:tcPr>
          <w:p w14:paraId="3B20D24A"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2019</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hideMark/>
          </w:tcPr>
          <w:p w14:paraId="75303626"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2018</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hideMark/>
          </w:tcPr>
          <w:p w14:paraId="559A44C4"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2017</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hideMark/>
          </w:tcPr>
          <w:p w14:paraId="1A4D01E0"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2016</w:t>
            </w:r>
          </w:p>
        </w:tc>
        <w:tc>
          <w:tcPr>
            <w:tcW w:w="1296" w:type="dxa"/>
            <w:tcBorders>
              <w:top w:val="single" w:sz="12" w:space="0" w:color="4F81BD"/>
              <w:left w:val="single" w:sz="4" w:space="0" w:color="FFFFFF"/>
              <w:bottom w:val="single" w:sz="12" w:space="0" w:color="FFFFFF"/>
              <w:right w:val="nil"/>
            </w:tcBorders>
            <w:shd w:val="clear" w:color="4F81BD" w:fill="4F81BD"/>
            <w:hideMark/>
          </w:tcPr>
          <w:p w14:paraId="174DACB8" w14:textId="77777777" w:rsidR="009A4D0A" w:rsidRPr="009A4D0A" w:rsidRDefault="009A4D0A" w:rsidP="009A4D0A">
            <w:pPr>
              <w:spacing w:after="0" w:line="240" w:lineRule="auto"/>
              <w:jc w:val="right"/>
              <w:rPr>
                <w:rFonts w:ascii="Arial" w:eastAsia="Times New Roman" w:hAnsi="Arial" w:cs="Arial"/>
                <w:b/>
                <w:bCs/>
                <w:color w:val="FFFFFF"/>
                <w:sz w:val="20"/>
                <w:szCs w:val="20"/>
              </w:rPr>
            </w:pPr>
            <w:r w:rsidRPr="009A4D0A">
              <w:rPr>
                <w:rFonts w:ascii="Arial" w:eastAsia="Times New Roman" w:hAnsi="Arial" w:cs="Arial"/>
                <w:b/>
                <w:bCs/>
                <w:color w:val="FFFFFF"/>
                <w:sz w:val="20"/>
                <w:szCs w:val="20"/>
              </w:rPr>
              <w:t>2015</w:t>
            </w:r>
          </w:p>
        </w:tc>
      </w:tr>
      <w:tr w:rsidR="009A4D0A" w:rsidRPr="009A4D0A" w14:paraId="17C2CEDC"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6BCE8D2F"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Product sales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0B224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1975000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2E244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2255000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31A93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2110000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3516B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2196000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4B4663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2447000</w:t>
            </w:r>
          </w:p>
        </w:tc>
      </w:tr>
      <w:tr w:rsidR="009A4D0A" w:rsidRPr="009A4D0A" w14:paraId="3BACF83B"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27869734" w14:textId="551AD0D2" w:rsidR="009A4D0A" w:rsidRPr="009A4D0A" w:rsidRDefault="00FA2F96"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Subscription</w:t>
            </w:r>
            <w:r w:rsidR="009A4D0A" w:rsidRPr="009A4D0A">
              <w:rPr>
                <w:rFonts w:ascii="Arial" w:eastAsia="Times New Roman" w:hAnsi="Arial" w:cs="Arial"/>
                <w:color w:val="000000"/>
                <w:sz w:val="20"/>
                <w:szCs w:val="20"/>
              </w:rPr>
              <w:t>, licensing &amp; other revenues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63721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4514000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1CD22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5245000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B69D9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4907000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C8CD5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4412000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17AB63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2217000</w:t>
            </w:r>
          </w:p>
        </w:tc>
      </w:tr>
      <w:tr w:rsidR="009A4D0A" w:rsidRPr="009A4D0A" w14:paraId="1C99D1FF"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75BBB544"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net revenues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25D6A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6489000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A7D21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7500000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3413B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7017000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E4955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6608000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842FAB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4664000</w:t>
            </w:r>
          </w:p>
        </w:tc>
      </w:tr>
      <w:tr w:rsidR="009A4D0A" w:rsidRPr="009A4D0A" w14:paraId="5454F210"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5419D2F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Cost of product sales - product costs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C02C5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656000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711BA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719000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3EDC2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733000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9112D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741000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48BDAC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921000</w:t>
            </w:r>
          </w:p>
        </w:tc>
      </w:tr>
      <w:tr w:rsidR="009A4D0A" w:rsidRPr="009A4D0A" w14:paraId="76BC91BD"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59D72D9F"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Cost of sales - online subscriptions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FE167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B1783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5D1E9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6C179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FD202A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224000</w:t>
            </w:r>
          </w:p>
        </w:tc>
      </w:tr>
      <w:tr w:rsidR="009A4D0A" w:rsidRPr="009A4D0A" w14:paraId="46999CDD"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3B2FEE08"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Cost of sales - software royalties &amp; amortization</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CB71D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DA084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7CBC8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5A339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579A41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412000</w:t>
            </w:r>
          </w:p>
        </w:tc>
      </w:tr>
      <w:tr w:rsidR="009A4D0A" w:rsidRPr="009A4D0A" w14:paraId="38D8DBE2"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0E23AA32"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Cost of product sales - software royalties, amortization &amp; intellectual property licenses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4506D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238B2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371000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9DD0A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300000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5A51B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6FD920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17492CC3"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72783ACD"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Cost of subscription, licensing &amp; other revenues - game operations &amp; distribution costs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74B22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965000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E42AC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1028000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4B257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984000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E8E6A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851000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2E6474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1736B0D2"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6D46F0A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lastRenderedPageBreak/>
              <w:t>Cost of subscription, licensing &amp; other revenues - software royalties, amortization &amp; intellectual property licenses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8A4EB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233000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FBAB6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399000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EBB39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484000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545BA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471000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A4DD6C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216C895C"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282A383D"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Cost of sales - intellectual property licenses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BC4EB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253C3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83F38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2365C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20553C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28000</w:t>
            </w:r>
          </w:p>
        </w:tc>
      </w:tr>
      <w:tr w:rsidR="009A4D0A" w:rsidRPr="009A4D0A" w14:paraId="4BC94EA9"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5BDE568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Product development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A979A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998000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AD50B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1101000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FD595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1069000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5A0E1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958000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9DA6E6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646000</w:t>
            </w:r>
          </w:p>
        </w:tc>
      </w:tr>
      <w:tr w:rsidR="009A4D0A" w:rsidRPr="009A4D0A" w14:paraId="33BB13F0"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04DB97E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Sales &amp; marketing</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5FC2C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926000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C00CC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1062000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B823C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1378000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42A86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1210000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C430F9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734000</w:t>
            </w:r>
          </w:p>
        </w:tc>
      </w:tr>
      <w:tr w:rsidR="009A4D0A" w:rsidRPr="009A4D0A" w14:paraId="3729B858"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2AF8BBA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General &amp; administrative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42B00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732000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67101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832000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E2557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760000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F5BF2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634000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BB202F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380000</w:t>
            </w:r>
          </w:p>
        </w:tc>
      </w:tr>
      <w:tr w:rsidR="009A4D0A" w:rsidRPr="009A4D0A" w14:paraId="1807F807"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5691DB4A"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Restructuring &amp; related costs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967F2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97AEE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1E1B0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FEC09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32F48C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325FA05D"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04C2D015"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costs &amp; expenses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B5573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4882000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DF016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5512000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45263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5708000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D780A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5196000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A6FE98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3345000</w:t>
            </w:r>
          </w:p>
        </w:tc>
      </w:tr>
      <w:tr w:rsidR="009A4D0A" w:rsidRPr="009A4D0A" w14:paraId="40CD02C5"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1997D70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Operating income (loss)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2190D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1607000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BF869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1988000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9C198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1309000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8BA6A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1412000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486573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1319000</w:t>
            </w:r>
          </w:p>
        </w:tc>
      </w:tr>
      <w:tr w:rsidR="009A4D0A" w:rsidRPr="009A4D0A" w14:paraId="409C9BFE"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13F009F9"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Interest income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BB571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09120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0670E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27767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DF87B3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714708DC"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5319280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Interest expense from debt &amp; amortization of debt discount &amp; deferred financing costs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217CB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B97E9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3992F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C6CA3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5498A3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1E7D849B"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4D2BCD5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Unrealized gain on equity investment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707DC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95537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AEF95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9FFF3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10E591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33BF9C95"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5054E455"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Other income (expense),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C874C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35851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3F61B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93FF8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6BE75F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035F2B79"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58E6C789"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Interest &amp; other income (expense),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81B09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60077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0C2B9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F0156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F71949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-198000</w:t>
            </w:r>
          </w:p>
        </w:tc>
      </w:tr>
      <w:tr w:rsidR="009A4D0A" w:rsidRPr="009A4D0A" w14:paraId="21267C41"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75136BAA"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Interest &amp; other income (expense),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16472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B385E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2471E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33020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8E1FFF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325EB817"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5C79A04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Income (loss) on extinguishment of debt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07B03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01278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56E45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8316E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-92000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A127D5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r>
      <w:tr w:rsidR="009A4D0A" w:rsidRPr="009A4D0A" w14:paraId="6BFD9C6E"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76C91A2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Income (loss) before income tax expense (benefit) - domestic</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FD352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328000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ED74C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432000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A6056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2A3E1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228000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29C29D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355000</w:t>
            </w:r>
          </w:p>
        </w:tc>
      </w:tr>
      <w:tr w:rsidR="009A4D0A" w:rsidRPr="009A4D0A" w14:paraId="681DFC94"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7B670FE2"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Income (loss) before income tax expense (benefit) - foreign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D94EE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1305000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B4F33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1445000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E39C7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966000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F7258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878000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C6775C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766000</w:t>
            </w:r>
          </w:p>
        </w:tc>
      </w:tr>
      <w:tr w:rsidR="009A4D0A" w:rsidRPr="009A4D0A" w14:paraId="37A9A91A"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616F96D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Income (loss) before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FA0D6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1633000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E1A9D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1877000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3EAE5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1151000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B35A1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1106000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994AC7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1121000</w:t>
            </w:r>
          </w:p>
        </w:tc>
      </w:tr>
      <w:tr w:rsidR="009A4D0A" w:rsidRPr="009A4D0A" w14:paraId="2EE9EAFF"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02C909B0"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Current income tax expense (benefit) - federal</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85641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5E180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CBD81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696000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2EFD7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1BEC72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169000</w:t>
            </w:r>
          </w:p>
        </w:tc>
      </w:tr>
      <w:tr w:rsidR="009A4D0A" w:rsidRPr="009A4D0A" w14:paraId="475D50C8"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5EE9005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Current income tax expense (benefit) - state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BF034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EE071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9416E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3FE30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CF4689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31000</w:t>
            </w:r>
          </w:p>
        </w:tc>
      </w:tr>
      <w:tr w:rsidR="009A4D0A" w:rsidRPr="009A4D0A" w14:paraId="750FA1E8"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61F0E019"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Current income tax expense (benefit) - foreign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D1F7F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323000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21E91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280000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F7D9A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335000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66457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282F57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40000</w:t>
            </w:r>
          </w:p>
        </w:tc>
      </w:tr>
      <w:tr w:rsidR="009A4D0A" w:rsidRPr="009A4D0A" w14:paraId="01CC69FF"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73C32CA7"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current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94FEA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483000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FAFE0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EF26F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1057000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B660A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151000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2A6530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240000</w:t>
            </w:r>
          </w:p>
        </w:tc>
      </w:tr>
      <w:tr w:rsidR="009A4D0A" w:rsidRPr="009A4D0A" w14:paraId="355FAFAF"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1A0B1A6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income tax expense (benefit) - federal</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01A9A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781000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D7602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8FF61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E0558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40000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43DE3F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1000</w:t>
            </w:r>
          </w:p>
        </w:tc>
      </w:tr>
      <w:tr w:rsidR="009A4D0A" w:rsidRPr="009A4D0A" w14:paraId="5B508DE0"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32E39974"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income tax expense (benefit) - state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82B88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EEE90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106000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6E189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B2466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143A653"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-21000</w:t>
            </w:r>
          </w:p>
        </w:tc>
      </w:tr>
      <w:tr w:rsidR="009A4D0A" w:rsidRPr="009A4D0A" w14:paraId="4E2FD69F"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3C5FAE68"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Deferred income tax expense (benefit) - foreign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B2921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-1118000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9A583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36044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4DEAC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-38000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934EB3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9000</w:t>
            </w:r>
          </w:p>
        </w:tc>
      </w:tr>
      <w:tr w:rsidR="009A4D0A" w:rsidRPr="009A4D0A" w14:paraId="50F0F6ED"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1C497C7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deferred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38878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-353000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B3CC2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AD233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2D678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6E9586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-11000</w:t>
            </w:r>
          </w:p>
        </w:tc>
      </w:tr>
      <w:tr w:rsidR="009A4D0A" w:rsidRPr="009A4D0A" w14:paraId="35663BFE"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473DD2F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D2302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8E48B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64000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89958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878000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3A93F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140000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74C4E5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229000</w:t>
            </w:r>
          </w:p>
        </w:tc>
      </w:tr>
      <w:tr w:rsidR="009A4D0A" w:rsidRPr="009A4D0A" w14:paraId="40BAA9A0"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2E1857B1"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Net income (loss)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E8E1A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1503000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2611B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1813000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82AD7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273000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457E1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966000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7039D6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892000</w:t>
            </w:r>
          </w:p>
        </w:tc>
      </w:tr>
      <w:tr w:rsidR="009A4D0A" w:rsidRPr="009A4D0A" w14:paraId="3D00E729"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540A28DB"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Weighted average shares outstanding - basic</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CE293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767000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0FB35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762000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5EF4D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754000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E35105"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740000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DA7E4C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728000</w:t>
            </w:r>
          </w:p>
        </w:tc>
      </w:tr>
      <w:tr w:rsidR="009A4D0A" w:rsidRPr="009A4D0A" w14:paraId="2EB702ED"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66B0D833"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lastRenderedPageBreak/>
              <w:t>Weighted average shares outstanding - diluted</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63013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771000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33131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771000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6F5CD4"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766000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48E8D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754000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7193FF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739000</w:t>
            </w:r>
          </w:p>
        </w:tc>
      </w:tr>
      <w:tr w:rsidR="009A4D0A" w:rsidRPr="009A4D0A" w14:paraId="75C1B335"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3DF81A09"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Year end shares outstanding</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0BA03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768760.173</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0F1D4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763417.52</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E1F90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757505.195</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1BD7D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745486.598</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C34197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734502.669</w:t>
            </w:r>
          </w:p>
        </w:tc>
      </w:tr>
      <w:tr w:rsidR="009A4D0A" w:rsidRPr="009A4D0A" w14:paraId="6D66024A"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2304F57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Net earnings (loss) per common share - basic</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49776D"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1.96</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7755F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2.38</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2A5FA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0.36</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A4E2B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1.3</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A9B284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1.21</w:t>
            </w:r>
          </w:p>
        </w:tc>
      </w:tr>
      <w:tr w:rsidR="009A4D0A" w:rsidRPr="009A4D0A" w14:paraId="0CE09775"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7D72B56F"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Net earnings (loss) per common share - diluted</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A75A8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1.95</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49135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2.35</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7699D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0.36</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F976C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1.28</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A4F3CE9"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1.19</w:t>
            </w:r>
          </w:p>
        </w:tc>
      </w:tr>
      <w:tr w:rsidR="009A4D0A" w:rsidRPr="009A4D0A" w14:paraId="13A41D6E"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1F1F0AB2"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Dividends per common share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EA021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0.37</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5E10E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0.34</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BA653F"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0.3</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CB161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0.26</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A1BB2B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0.23</w:t>
            </w:r>
          </w:p>
        </w:tc>
      </w:tr>
      <w:tr w:rsidR="009A4D0A" w:rsidRPr="009A4D0A" w14:paraId="14EE926E"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1A09BDAF"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Total number of employees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BEA95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9200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720128"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9900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A343F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9800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73ECF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9600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756B871"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7300</w:t>
            </w:r>
          </w:p>
        </w:tc>
      </w:tr>
      <w:tr w:rsidR="009A4D0A" w:rsidRPr="009A4D0A" w14:paraId="70E531BB" w14:textId="77777777" w:rsidTr="00515718">
        <w:trPr>
          <w:trHeight w:val="255"/>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1F745576"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Number of common stockholders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FF5EFE"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1574</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EC08E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1616</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1F06A0"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1663</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4DE74B"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1678</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5AEE072"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1752</w:t>
            </w:r>
          </w:p>
        </w:tc>
      </w:tr>
      <w:tr w:rsidR="009A4D0A" w:rsidRPr="009A4D0A" w14:paraId="58768333" w14:textId="77777777" w:rsidTr="00515718">
        <w:trPr>
          <w:trHeight w:val="255"/>
        </w:trPr>
        <w:tc>
          <w:tcPr>
            <w:tcW w:w="2880" w:type="dxa"/>
            <w:tcBorders>
              <w:top w:val="single" w:sz="4" w:space="0" w:color="FFFFFF"/>
              <w:left w:val="nil"/>
              <w:bottom w:val="nil"/>
              <w:right w:val="single" w:sz="4" w:space="0" w:color="FFFFFF"/>
            </w:tcBorders>
            <w:shd w:val="clear" w:color="B8CCE4" w:fill="B8CCE4"/>
            <w:noWrap/>
            <w:vAlign w:val="bottom"/>
            <w:hideMark/>
          </w:tcPr>
          <w:p w14:paraId="23B1B53E" w14:textId="77777777" w:rsidR="009A4D0A" w:rsidRPr="009A4D0A" w:rsidRDefault="009A4D0A" w:rsidP="009A4D0A">
            <w:pPr>
              <w:spacing w:after="0" w:line="240" w:lineRule="auto"/>
              <w:rPr>
                <w:rFonts w:ascii="Arial" w:eastAsia="Times New Roman" w:hAnsi="Arial" w:cs="Arial"/>
                <w:color w:val="000000"/>
                <w:sz w:val="20"/>
                <w:szCs w:val="20"/>
              </w:rPr>
            </w:pPr>
            <w:r w:rsidRPr="009A4D0A">
              <w:rPr>
                <w:rFonts w:ascii="Arial" w:eastAsia="Times New Roman" w:hAnsi="Arial" w:cs="Arial"/>
                <w:color w:val="000000"/>
                <w:sz w:val="20"/>
                <w:szCs w:val="20"/>
              </w:rPr>
              <w:t>Foreign currency translation adjustments</w:t>
            </w:r>
          </w:p>
        </w:tc>
        <w:tc>
          <w:tcPr>
            <w:tcW w:w="1296" w:type="dxa"/>
            <w:tcBorders>
              <w:top w:val="single" w:sz="4" w:space="0" w:color="FFFFFF"/>
              <w:left w:val="single" w:sz="4" w:space="0" w:color="FFFFFF"/>
              <w:bottom w:val="nil"/>
              <w:right w:val="single" w:sz="4" w:space="0" w:color="FFFFFF"/>
            </w:tcBorders>
            <w:shd w:val="clear" w:color="B8CCE4" w:fill="B8CCE4"/>
            <w:noWrap/>
            <w:vAlign w:val="bottom"/>
            <w:hideMark/>
          </w:tcPr>
          <w:p w14:paraId="7382CAF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0</w:t>
            </w:r>
          </w:p>
        </w:tc>
        <w:tc>
          <w:tcPr>
            <w:tcW w:w="1296" w:type="dxa"/>
            <w:tcBorders>
              <w:top w:val="single" w:sz="4" w:space="0" w:color="FFFFFF"/>
              <w:left w:val="single" w:sz="4" w:space="0" w:color="FFFFFF"/>
              <w:bottom w:val="nil"/>
              <w:right w:val="single" w:sz="4" w:space="0" w:color="FFFFFF"/>
            </w:tcBorders>
            <w:shd w:val="clear" w:color="B8CCE4" w:fill="B8CCE4"/>
            <w:noWrap/>
            <w:vAlign w:val="bottom"/>
            <w:hideMark/>
          </w:tcPr>
          <w:p w14:paraId="7BB21FFA"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-9000</w:t>
            </w:r>
          </w:p>
        </w:tc>
        <w:tc>
          <w:tcPr>
            <w:tcW w:w="1296" w:type="dxa"/>
            <w:tcBorders>
              <w:top w:val="single" w:sz="4" w:space="0" w:color="FFFFFF"/>
              <w:left w:val="single" w:sz="4" w:space="0" w:color="FFFFFF"/>
              <w:bottom w:val="nil"/>
              <w:right w:val="single" w:sz="4" w:space="0" w:color="FFFFFF"/>
            </w:tcBorders>
            <w:shd w:val="clear" w:color="B8CCE4" w:fill="B8CCE4"/>
            <w:noWrap/>
            <w:vAlign w:val="bottom"/>
            <w:hideMark/>
          </w:tcPr>
          <w:p w14:paraId="7B81B287"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36000</w:t>
            </w:r>
          </w:p>
        </w:tc>
        <w:tc>
          <w:tcPr>
            <w:tcW w:w="1296" w:type="dxa"/>
            <w:tcBorders>
              <w:top w:val="single" w:sz="4" w:space="0" w:color="FFFFFF"/>
              <w:left w:val="single" w:sz="4" w:space="0" w:color="FFFFFF"/>
              <w:bottom w:val="nil"/>
              <w:right w:val="single" w:sz="4" w:space="0" w:color="FFFFFF"/>
            </w:tcBorders>
            <w:shd w:val="clear" w:color="B8CCE4" w:fill="B8CCE4"/>
            <w:noWrap/>
            <w:vAlign w:val="bottom"/>
            <w:hideMark/>
          </w:tcPr>
          <w:p w14:paraId="39AAD6DC"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-29000</w:t>
            </w:r>
          </w:p>
        </w:tc>
        <w:tc>
          <w:tcPr>
            <w:tcW w:w="1296" w:type="dxa"/>
            <w:tcBorders>
              <w:top w:val="single" w:sz="4" w:space="0" w:color="FFFFFF"/>
              <w:left w:val="single" w:sz="4" w:space="0" w:color="FFFFFF"/>
              <w:bottom w:val="nil"/>
              <w:right w:val="nil"/>
            </w:tcBorders>
            <w:shd w:val="clear" w:color="B8CCE4" w:fill="B8CCE4"/>
            <w:noWrap/>
            <w:vAlign w:val="bottom"/>
            <w:hideMark/>
          </w:tcPr>
          <w:p w14:paraId="6A018C76" w14:textId="77777777" w:rsidR="009A4D0A" w:rsidRPr="009A4D0A" w:rsidRDefault="009A4D0A" w:rsidP="009A4D0A">
            <w:pPr>
              <w:spacing w:after="0" w:line="240" w:lineRule="auto"/>
              <w:jc w:val="right"/>
              <w:rPr>
                <w:rFonts w:ascii="Arial" w:eastAsia="Times New Roman" w:hAnsi="Arial" w:cs="Arial"/>
                <w:color w:val="000000"/>
                <w:sz w:val="20"/>
                <w:szCs w:val="20"/>
              </w:rPr>
            </w:pPr>
            <w:r w:rsidRPr="009A4D0A">
              <w:rPr>
                <w:rFonts w:ascii="Arial" w:eastAsia="Times New Roman" w:hAnsi="Arial" w:cs="Arial"/>
                <w:color w:val="000000"/>
                <w:sz w:val="20"/>
                <w:szCs w:val="20"/>
              </w:rPr>
              <w:t>-326000</w:t>
            </w:r>
          </w:p>
        </w:tc>
      </w:tr>
    </w:tbl>
    <w:p w14:paraId="2CA8F47B" w14:textId="1689D93D" w:rsidR="00D423D0" w:rsidRDefault="00D423D0" w:rsidP="00132C97">
      <w:pPr>
        <w:shd w:val="clear" w:color="auto" w:fill="FFFFFF"/>
        <w:spacing w:line="480" w:lineRule="auto"/>
        <w:rPr>
          <w:rFonts w:ascii="Times New Roman" w:eastAsia="Times New Roman" w:hAnsi="Times New Roman" w:cs="Times New Roman"/>
          <w:color w:val="333333"/>
          <w:sz w:val="24"/>
          <w:szCs w:val="24"/>
        </w:rPr>
      </w:pPr>
    </w:p>
    <w:p w14:paraId="7BD51B84"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398DA0AC"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0959BAEF"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52650B23"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09690CEB"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1E2146A0"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7D9F24E3"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5D572494"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73233561"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28C3AE7E"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7609F31C"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76C0631E"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19E941E8" w14:textId="77777777" w:rsidR="00250DA5" w:rsidRDefault="00250DA5" w:rsidP="00132C97">
      <w:pPr>
        <w:shd w:val="clear" w:color="auto" w:fill="FFFFFF"/>
        <w:spacing w:line="480" w:lineRule="auto"/>
        <w:rPr>
          <w:rFonts w:ascii="Times New Roman" w:eastAsia="Times New Roman" w:hAnsi="Times New Roman" w:cs="Times New Roman"/>
          <w:color w:val="333333"/>
          <w:sz w:val="24"/>
          <w:szCs w:val="24"/>
        </w:rPr>
      </w:pPr>
    </w:p>
    <w:p w14:paraId="249233C8" w14:textId="234D99D9" w:rsidR="00250DA5" w:rsidRPr="00250DA5" w:rsidRDefault="00250DA5" w:rsidP="00250DA5">
      <w:pPr>
        <w:pStyle w:val="Heading1"/>
        <w:spacing w:line="480" w:lineRule="auto"/>
        <w:jc w:val="center"/>
        <w:rPr>
          <w:rFonts w:ascii="Times New Roman" w:eastAsia="Times New Roman" w:hAnsi="Times New Roman" w:cs="Times New Roman"/>
          <w:color w:val="auto"/>
          <w:sz w:val="24"/>
          <w:szCs w:val="24"/>
          <w:u w:val="single"/>
        </w:rPr>
      </w:pPr>
      <w:r w:rsidRPr="00250DA5">
        <w:rPr>
          <w:rFonts w:ascii="Times New Roman" w:eastAsia="Times New Roman" w:hAnsi="Times New Roman" w:cs="Times New Roman"/>
          <w:color w:val="auto"/>
          <w:sz w:val="24"/>
          <w:szCs w:val="24"/>
        </w:rPr>
        <w:lastRenderedPageBreak/>
        <w:t>Appendix</w:t>
      </w:r>
      <w:r>
        <w:rPr>
          <w:rFonts w:ascii="Times New Roman" w:eastAsia="Times New Roman" w:hAnsi="Times New Roman" w:cs="Times New Roman"/>
          <w:color w:val="auto"/>
          <w:sz w:val="24"/>
          <w:szCs w:val="24"/>
        </w:rPr>
        <w:t xml:space="preserve"> C</w:t>
      </w:r>
    </w:p>
    <w:tbl>
      <w:tblPr>
        <w:tblW w:w="9504" w:type="dxa"/>
        <w:tblLayout w:type="fixed"/>
        <w:tblLook w:val="04A0" w:firstRow="1" w:lastRow="0" w:firstColumn="1" w:lastColumn="0" w:noHBand="0" w:noVBand="1"/>
      </w:tblPr>
      <w:tblGrid>
        <w:gridCol w:w="2304"/>
        <w:gridCol w:w="1440"/>
        <w:gridCol w:w="1440"/>
        <w:gridCol w:w="1440"/>
        <w:gridCol w:w="1440"/>
        <w:gridCol w:w="1440"/>
      </w:tblGrid>
      <w:tr w:rsidR="00D85712" w:rsidRPr="003A0A70" w14:paraId="09CB702E" w14:textId="77777777" w:rsidTr="00D85712">
        <w:trPr>
          <w:trHeight w:val="405"/>
        </w:trPr>
        <w:tc>
          <w:tcPr>
            <w:tcW w:w="2304" w:type="dxa"/>
            <w:tcBorders>
              <w:top w:val="nil"/>
              <w:left w:val="nil"/>
              <w:bottom w:val="single" w:sz="12" w:space="0" w:color="4F81BD"/>
              <w:right w:val="nil"/>
            </w:tcBorders>
            <w:shd w:val="clear" w:color="000000" w:fill="B8CCE4"/>
            <w:noWrap/>
            <w:vAlign w:val="bottom"/>
            <w:hideMark/>
          </w:tcPr>
          <w:p w14:paraId="6BF0FBA7" w14:textId="77777777" w:rsidR="003D28E1" w:rsidRPr="003A0A70" w:rsidRDefault="003D28E1" w:rsidP="003D28E1">
            <w:pPr>
              <w:spacing w:after="0" w:line="240" w:lineRule="auto"/>
              <w:rPr>
                <w:rFonts w:ascii="Times New Roman" w:eastAsia="Times New Roman" w:hAnsi="Times New Roman" w:cs="Times New Roman"/>
                <w:b/>
                <w:bCs/>
                <w:color w:val="1F497D"/>
                <w:sz w:val="24"/>
                <w:szCs w:val="24"/>
              </w:rPr>
            </w:pPr>
            <w:bookmarkStart w:id="9" w:name="_Hlk37176082"/>
            <w:r w:rsidRPr="003A0A70">
              <w:rPr>
                <w:rFonts w:ascii="Times New Roman" w:eastAsia="Times New Roman" w:hAnsi="Times New Roman" w:cs="Times New Roman"/>
                <w:b/>
                <w:bCs/>
                <w:color w:val="1F497D"/>
                <w:sz w:val="24"/>
                <w:szCs w:val="24"/>
              </w:rPr>
              <w:t>Appendix C</w:t>
            </w:r>
          </w:p>
        </w:tc>
        <w:tc>
          <w:tcPr>
            <w:tcW w:w="7200" w:type="dxa"/>
            <w:gridSpan w:val="5"/>
            <w:tcBorders>
              <w:top w:val="nil"/>
              <w:left w:val="nil"/>
              <w:bottom w:val="single" w:sz="12" w:space="0" w:color="4F81BD"/>
              <w:right w:val="nil"/>
            </w:tcBorders>
            <w:shd w:val="clear" w:color="000000" w:fill="B8CCE4"/>
            <w:noWrap/>
            <w:vAlign w:val="bottom"/>
            <w:hideMark/>
          </w:tcPr>
          <w:p w14:paraId="16F32B29" w14:textId="6328E8A1" w:rsidR="003D28E1" w:rsidRPr="003A0A70" w:rsidRDefault="003D28E1" w:rsidP="003D28E1">
            <w:pPr>
              <w:spacing w:after="0" w:line="240" w:lineRule="auto"/>
              <w:jc w:val="center"/>
              <w:rPr>
                <w:rFonts w:ascii="Times New Roman" w:eastAsia="Times New Roman" w:hAnsi="Times New Roman" w:cs="Times New Roman"/>
                <w:b/>
                <w:bCs/>
                <w:color w:val="1F497D"/>
                <w:sz w:val="24"/>
                <w:szCs w:val="24"/>
              </w:rPr>
            </w:pPr>
            <w:r w:rsidRPr="003A0A70">
              <w:rPr>
                <w:rFonts w:ascii="Times New Roman" w:eastAsia="Times New Roman" w:hAnsi="Times New Roman" w:cs="Times New Roman"/>
                <w:b/>
                <w:bCs/>
                <w:color w:val="1F497D"/>
                <w:sz w:val="24"/>
                <w:szCs w:val="24"/>
              </w:rPr>
              <w:t>Electronic Arts - Common-Size Balance Sheet</w:t>
            </w:r>
          </w:p>
        </w:tc>
      </w:tr>
      <w:tr w:rsidR="00D85712" w:rsidRPr="003A0A70" w14:paraId="321670A8" w14:textId="77777777" w:rsidTr="00D85712">
        <w:trPr>
          <w:trHeight w:val="288"/>
        </w:trPr>
        <w:tc>
          <w:tcPr>
            <w:tcW w:w="2304" w:type="dxa"/>
            <w:tcBorders>
              <w:top w:val="nil"/>
              <w:left w:val="nil"/>
              <w:bottom w:val="single" w:sz="12" w:space="0" w:color="FFFFFF"/>
              <w:right w:val="single" w:sz="4" w:space="0" w:color="FFFFFF"/>
            </w:tcBorders>
            <w:shd w:val="clear" w:color="4F81BD" w:fill="4F81BD"/>
            <w:noWrap/>
            <w:hideMark/>
          </w:tcPr>
          <w:p w14:paraId="5C9B5599" w14:textId="77777777" w:rsidR="003D28E1" w:rsidRPr="003A0A70" w:rsidRDefault="003D28E1" w:rsidP="003D28E1">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 xml:space="preserve"> </w:t>
            </w:r>
          </w:p>
        </w:tc>
        <w:tc>
          <w:tcPr>
            <w:tcW w:w="1440" w:type="dxa"/>
            <w:tcBorders>
              <w:top w:val="nil"/>
              <w:left w:val="single" w:sz="4" w:space="0" w:color="FFFFFF"/>
              <w:bottom w:val="single" w:sz="12" w:space="0" w:color="FFFFFF"/>
              <w:right w:val="single" w:sz="4" w:space="0" w:color="FFFFFF"/>
            </w:tcBorders>
            <w:shd w:val="clear" w:color="4F81BD" w:fill="4F81BD"/>
            <w:noWrap/>
            <w:vAlign w:val="bottom"/>
            <w:hideMark/>
          </w:tcPr>
          <w:p w14:paraId="4E2FB3F6" w14:textId="77777777" w:rsidR="003D28E1" w:rsidRPr="003A0A70" w:rsidRDefault="003D28E1" w:rsidP="003D28E1">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2019</w:t>
            </w:r>
          </w:p>
        </w:tc>
        <w:tc>
          <w:tcPr>
            <w:tcW w:w="1440" w:type="dxa"/>
            <w:tcBorders>
              <w:top w:val="nil"/>
              <w:left w:val="single" w:sz="4" w:space="0" w:color="FFFFFF"/>
              <w:bottom w:val="single" w:sz="12" w:space="0" w:color="FFFFFF"/>
              <w:right w:val="single" w:sz="4" w:space="0" w:color="FFFFFF"/>
            </w:tcBorders>
            <w:shd w:val="clear" w:color="4F81BD" w:fill="4F81BD"/>
            <w:noWrap/>
            <w:vAlign w:val="bottom"/>
            <w:hideMark/>
          </w:tcPr>
          <w:p w14:paraId="1717B4FE" w14:textId="77777777" w:rsidR="003D28E1" w:rsidRPr="003A0A70" w:rsidRDefault="003D28E1" w:rsidP="003D28E1">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2018</w:t>
            </w:r>
          </w:p>
        </w:tc>
        <w:tc>
          <w:tcPr>
            <w:tcW w:w="1440" w:type="dxa"/>
            <w:tcBorders>
              <w:top w:val="nil"/>
              <w:left w:val="single" w:sz="4" w:space="0" w:color="FFFFFF"/>
              <w:bottom w:val="single" w:sz="12" w:space="0" w:color="FFFFFF"/>
              <w:right w:val="single" w:sz="4" w:space="0" w:color="FFFFFF"/>
            </w:tcBorders>
            <w:shd w:val="clear" w:color="4F81BD" w:fill="4F81BD"/>
            <w:noWrap/>
            <w:vAlign w:val="bottom"/>
            <w:hideMark/>
          </w:tcPr>
          <w:p w14:paraId="038738D6" w14:textId="77777777" w:rsidR="003D28E1" w:rsidRPr="003A0A70" w:rsidRDefault="003D28E1" w:rsidP="003D28E1">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2017</w:t>
            </w:r>
          </w:p>
        </w:tc>
        <w:tc>
          <w:tcPr>
            <w:tcW w:w="1440" w:type="dxa"/>
            <w:tcBorders>
              <w:top w:val="nil"/>
              <w:left w:val="single" w:sz="4" w:space="0" w:color="FFFFFF"/>
              <w:bottom w:val="single" w:sz="12" w:space="0" w:color="FFFFFF"/>
              <w:right w:val="single" w:sz="4" w:space="0" w:color="FFFFFF"/>
            </w:tcBorders>
            <w:shd w:val="clear" w:color="4F81BD" w:fill="4F81BD"/>
            <w:noWrap/>
            <w:vAlign w:val="bottom"/>
            <w:hideMark/>
          </w:tcPr>
          <w:p w14:paraId="759C24EF" w14:textId="77777777" w:rsidR="003D28E1" w:rsidRPr="003A0A70" w:rsidRDefault="003D28E1" w:rsidP="003D28E1">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2016</w:t>
            </w:r>
          </w:p>
        </w:tc>
        <w:tc>
          <w:tcPr>
            <w:tcW w:w="1440" w:type="dxa"/>
            <w:tcBorders>
              <w:top w:val="nil"/>
              <w:left w:val="single" w:sz="4" w:space="0" w:color="FFFFFF"/>
              <w:bottom w:val="single" w:sz="12" w:space="0" w:color="FFFFFF"/>
              <w:right w:val="nil"/>
            </w:tcBorders>
            <w:shd w:val="clear" w:color="4F81BD" w:fill="4F81BD"/>
            <w:noWrap/>
            <w:vAlign w:val="bottom"/>
            <w:hideMark/>
          </w:tcPr>
          <w:p w14:paraId="0241D1B3" w14:textId="77777777" w:rsidR="003D28E1" w:rsidRPr="003A0A70" w:rsidRDefault="003D28E1" w:rsidP="003D28E1">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2015</w:t>
            </w:r>
          </w:p>
        </w:tc>
      </w:tr>
      <w:tr w:rsidR="00D85712" w:rsidRPr="003A0A70" w14:paraId="7B3B072F"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21ECB274"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Cash &amp; cash equivalents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86D95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52.56%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4BD5B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49.60%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52866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33.23%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FBDF3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35.36%</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49AFE04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33.64%</w:t>
            </w:r>
          </w:p>
        </w:tc>
      </w:tr>
      <w:tr w:rsidR="00D85712" w:rsidRPr="003A0A70" w14:paraId="0F9D7FEC"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228F93A8"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Short-term investments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2057F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8.23%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DC7B7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12.50%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78AC0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25.49%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6CDD7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19.02%</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079E6F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15.50%</w:t>
            </w:r>
          </w:p>
        </w:tc>
      </w:tr>
      <w:tr w:rsidR="00D85712" w:rsidRPr="003A0A70" w14:paraId="06037BD0"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28414898"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Receivables, gross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8AAA1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7.03%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ACEB8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6.41%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D4A7E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6.53%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395D0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5.56%</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11B2737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8.17%</w:t>
            </w:r>
          </w:p>
        </w:tc>
      </w:tr>
      <w:tr w:rsidR="00D85712" w:rsidRPr="003A0A70" w14:paraId="53394FCB"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4EB19229"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Allowances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41003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B134B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400CF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3D902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2.26%</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3ED02C1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2.28%</w:t>
            </w:r>
          </w:p>
        </w:tc>
      </w:tr>
      <w:tr w:rsidR="00D85712" w:rsidRPr="003A0A70" w14:paraId="2ED87F77"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58B6F0DE"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Receivables, net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43517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6.96%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99DDE9"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4.49%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E301C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4.65%</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C8B3E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3.30%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24AA284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5.89%</w:t>
            </w:r>
          </w:p>
        </w:tc>
      </w:tr>
      <w:tr w:rsidR="00D85712" w:rsidRPr="003A0A70" w14:paraId="5FF5F6A9"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429ED73D"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Finished goods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B42549"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07517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CD03F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1D19D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0A75B03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0.57%</w:t>
            </w:r>
          </w:p>
        </w:tc>
      </w:tr>
      <w:tr w:rsidR="00D85712" w:rsidRPr="003A0A70" w14:paraId="0B82F03F"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7A049293"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Raw materials &amp; work in process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7801C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E9B44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B587A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2190D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FBE886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r>
      <w:tr w:rsidR="00D85712" w:rsidRPr="003A0A70" w14:paraId="42FB75F2"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39474FCB"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Inventories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CCED5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BA378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F26D0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4E483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0.47%</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A3449A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0.59%</w:t>
            </w:r>
          </w:p>
        </w:tc>
      </w:tr>
      <w:tr w:rsidR="00D85712" w:rsidRPr="003A0A70" w14:paraId="46866BA1"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43E8A7BF"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income taxes, net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78144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AE524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97B5B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22858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686A067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0.88%</w:t>
            </w:r>
          </w:p>
        </w:tc>
      </w:tr>
      <w:tr w:rsidR="00D85712" w:rsidRPr="003A0A70" w14:paraId="4184304E"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2DDBD103"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Other current assets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EE2B8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3.49%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0949F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3.36%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6753B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3.99%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04265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3.60%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6C3ED52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4.02%</w:t>
            </w:r>
          </w:p>
        </w:tc>
      </w:tr>
      <w:tr w:rsidR="00D85712" w:rsidRPr="003A0A70" w14:paraId="5B5391C6"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073DF2FC"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current assets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9F6E6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71.24%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5C7DB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69.94%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4F331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67.36%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67C4F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61.76%</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4FBCF7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60.52%</w:t>
            </w:r>
          </w:p>
        </w:tc>
      </w:tr>
      <w:tr w:rsidR="00D85712" w:rsidRPr="003A0A70" w14:paraId="6917478F"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300C4EF1"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Computer equipment &amp; software</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3D509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7.93%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4A617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8.67%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88EDB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9.37%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13574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9.70%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2B07E63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10.66%</w:t>
            </w:r>
          </w:p>
        </w:tc>
      </w:tr>
      <w:tr w:rsidR="00D85712" w:rsidRPr="003A0A70" w14:paraId="7504D45E"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3D211DA7"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Buildings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7B6E4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3.83%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4369A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3.91%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37D6F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4.09%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3DE81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4.44%</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4FFE977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5.12%</w:t>
            </w:r>
          </w:p>
        </w:tc>
      </w:tr>
      <w:tr w:rsidR="00D85712" w:rsidRPr="003A0A70" w14:paraId="54E94743"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5553FFD3"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Leasehold improvements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8A2E3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1C221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559179"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BA87C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1.83%</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4BF6C4D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2.05%</w:t>
            </w:r>
          </w:p>
        </w:tc>
      </w:tr>
      <w:tr w:rsidR="00D85712" w:rsidRPr="003A0A70" w14:paraId="3A9CA2A1"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145FBE2B"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Equipment, furniture &amp; fixtures &amp; other property &amp; equipment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0F2F8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9EC82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0.98%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70400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56170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4DBF2FE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1.04%</w:t>
            </w:r>
          </w:p>
        </w:tc>
      </w:tr>
      <w:tr w:rsidR="00D85712" w:rsidRPr="003A0A70" w14:paraId="649469F3"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2617D6CD"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Land</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9847E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0.74%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0BED39"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0.77%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98581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0.79%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77F63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0.87%</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82CAA7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1.01%</w:t>
            </w:r>
          </w:p>
        </w:tc>
      </w:tr>
      <w:tr w:rsidR="00D85712" w:rsidRPr="003A0A70" w14:paraId="7930D62F"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2CB17D80"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Construction in progress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28526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EDBDB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92F05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1B068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0.21%</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03D7645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0.11%</w:t>
            </w:r>
          </w:p>
        </w:tc>
      </w:tr>
      <w:tr w:rsidR="00D85712" w:rsidRPr="003A0A70" w14:paraId="4EE18B76"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6195C9F3"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Warehouse equipment &amp; other property &amp; equipment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71594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7BB9A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8D73D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A0C50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15B4A9C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0.15%</w:t>
            </w:r>
          </w:p>
        </w:tc>
      </w:tr>
      <w:tr w:rsidR="00D85712" w:rsidRPr="003A0A70" w14:paraId="03880462"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3DAFFDBE"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Gross property &amp; equipment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A62DA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15.17%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31378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16.03%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2C1F2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17.04%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B4886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18.18%</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3E1410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20.14%</w:t>
            </w:r>
          </w:p>
        </w:tc>
      </w:tr>
      <w:tr w:rsidR="00D85712" w:rsidRPr="003A0A70" w14:paraId="2AE441C9"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141CD37C"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Less: accumulated depreciation</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E9F22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10.17%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FB54D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10.75%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F2054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11.41%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C0905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11.96%</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5A6D370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12.67%</w:t>
            </w:r>
          </w:p>
        </w:tc>
      </w:tr>
      <w:tr w:rsidR="00D85712" w:rsidRPr="003A0A70" w14:paraId="5AD7223C"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11BC91BE"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Property &amp; equipment, net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2FD1B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8CE29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5.28%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DECDB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5.62%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87E60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6.23%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708FE1D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7.47%</w:t>
            </w:r>
          </w:p>
        </w:tc>
      </w:tr>
      <w:tr w:rsidR="00D85712" w:rsidRPr="003A0A70" w14:paraId="3F8939AF"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0A4935D6"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Goodwill</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A304A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21.12%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F606B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21.94%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6D172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22.12%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1D867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24.26%</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19BB3FB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27.87%</w:t>
            </w:r>
          </w:p>
        </w:tc>
      </w:tr>
      <w:tr w:rsidR="00D85712" w:rsidRPr="003A0A70" w14:paraId="32BC8ED1"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0E76CA5D"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Acquisition-related intangibles, net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3E18D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0.97%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4AEB4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301B0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8952B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0.81%</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67368C9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1.81%</w:t>
            </w:r>
          </w:p>
        </w:tc>
      </w:tr>
      <w:tr w:rsidR="00D85712" w:rsidRPr="003A0A70" w14:paraId="1A01276A"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06BFBB7A"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lastRenderedPageBreak/>
              <w:t>Deferred income taxes, net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87D8B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92A4F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0.98%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CED36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3.71%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90B0B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5.49%</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24D8535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0.21%</w:t>
            </w:r>
          </w:p>
        </w:tc>
      </w:tr>
      <w:tr w:rsidR="00D85712" w:rsidRPr="003A0A70" w14:paraId="2CCB81C1"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3951D0F2"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Other assets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C999A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19397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BD9BB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0B720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1.46%</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C22595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2.13%</w:t>
            </w:r>
          </w:p>
        </w:tc>
      </w:tr>
      <w:tr w:rsidR="00D85712" w:rsidRPr="003A0A70" w14:paraId="0F0FB9CD"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noWrap/>
            <w:vAlign w:val="bottom"/>
            <w:hideMark/>
          </w:tcPr>
          <w:p w14:paraId="163DA6B4"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assets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30F5D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5450F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B3B48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20945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11E8123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r>
      <w:tr w:rsidR="00D85712" w:rsidRPr="003A0A70" w14:paraId="47C06906"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noWrap/>
            <w:vAlign w:val="bottom"/>
            <w:hideMark/>
          </w:tcPr>
          <w:p w14:paraId="69579D9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4501C4" w14:textId="77777777" w:rsidR="003D28E1" w:rsidRPr="003A0A70" w:rsidRDefault="003D28E1" w:rsidP="003D28E1">
            <w:pPr>
              <w:spacing w:after="0" w:line="240" w:lineRule="auto"/>
              <w:rPr>
                <w:rFonts w:ascii="Times New Roman" w:eastAsia="Times New Roman" w:hAnsi="Times New Roman" w:cs="Times New Roman"/>
                <w:sz w:val="24"/>
                <w:szCs w:val="24"/>
              </w:rPr>
            </w:pP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61B597" w14:textId="77777777" w:rsidR="003D28E1" w:rsidRPr="003A0A70" w:rsidRDefault="003D28E1" w:rsidP="003D28E1">
            <w:pPr>
              <w:spacing w:after="0" w:line="240" w:lineRule="auto"/>
              <w:rPr>
                <w:rFonts w:ascii="Times New Roman" w:eastAsia="Times New Roman" w:hAnsi="Times New Roman" w:cs="Times New Roman"/>
                <w:sz w:val="24"/>
                <w:szCs w:val="24"/>
              </w:rPr>
            </w:pP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801F39" w14:textId="77777777" w:rsidR="003D28E1" w:rsidRPr="003A0A70" w:rsidRDefault="003D28E1" w:rsidP="003D28E1">
            <w:pPr>
              <w:spacing w:after="0" w:line="240" w:lineRule="auto"/>
              <w:rPr>
                <w:rFonts w:ascii="Times New Roman" w:eastAsia="Times New Roman" w:hAnsi="Times New Roman" w:cs="Times New Roman"/>
                <w:sz w:val="24"/>
                <w:szCs w:val="24"/>
              </w:rPr>
            </w:pP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3A9E7C" w14:textId="77777777" w:rsidR="003D28E1" w:rsidRPr="003A0A70" w:rsidRDefault="003D28E1" w:rsidP="003D28E1">
            <w:pPr>
              <w:spacing w:after="0" w:line="240" w:lineRule="auto"/>
              <w:rPr>
                <w:rFonts w:ascii="Times New Roman" w:eastAsia="Times New Roman" w:hAnsi="Times New Roman" w:cs="Times New Roman"/>
                <w:sz w:val="24"/>
                <w:szCs w:val="24"/>
              </w:rPr>
            </w:pP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1BDEA72F" w14:textId="77777777" w:rsidR="003D28E1" w:rsidRPr="003A0A70" w:rsidRDefault="003D28E1" w:rsidP="003D28E1">
            <w:pPr>
              <w:spacing w:after="0" w:line="240" w:lineRule="auto"/>
              <w:rPr>
                <w:rFonts w:ascii="Times New Roman" w:eastAsia="Times New Roman" w:hAnsi="Times New Roman" w:cs="Times New Roman"/>
                <w:sz w:val="24"/>
                <w:szCs w:val="24"/>
              </w:rPr>
            </w:pPr>
          </w:p>
        </w:tc>
      </w:tr>
      <w:tr w:rsidR="00D85712" w:rsidRPr="003A0A70" w14:paraId="6B5D9E82"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3B89F8CD"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Accounts payable</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1AA059"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8641F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9C523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0B643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1.26%</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580FA5E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1.11%</w:t>
            </w:r>
          </w:p>
        </w:tc>
      </w:tr>
      <w:tr w:rsidR="00D85712" w:rsidRPr="003A0A70" w14:paraId="30605F80"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0196D585"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Accrued compensation &amp; benefits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89FF3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0FFDA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3.29%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81CE0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3.46%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C9140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3.63%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7211CFD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4.30%</w:t>
            </w:r>
          </w:p>
        </w:tc>
      </w:tr>
      <w:tr w:rsidR="00D85712" w:rsidRPr="003A0A70" w14:paraId="265AEF54"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7C3C820B"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Other accrued expenses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55EA5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3.24%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0AE4E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3.03%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FBD2E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2.72%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D693C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3.09%</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18EF108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4.87%</w:t>
            </w:r>
          </w:p>
        </w:tc>
      </w:tr>
      <w:tr w:rsidR="00D85712" w:rsidRPr="003A0A70" w14:paraId="05AFB482"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099C37E5"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Accrued royalties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18FF8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0F550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3EB55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C0318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2.26%</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2239279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1.95%</w:t>
            </w:r>
          </w:p>
        </w:tc>
      </w:tr>
      <w:tr w:rsidR="00D85712" w:rsidRPr="003A0A70" w14:paraId="7356C2F4"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40AC86A4"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Sales return &amp; price protection reserves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B609E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A607C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864879"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970D3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5AE3E1B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D85712" w:rsidRPr="003A0A70" w14:paraId="5FE6C717"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6282018D"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Contingent consideration</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82624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001DE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87C29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400F7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B9F0DF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D85712" w:rsidRPr="003A0A70" w14:paraId="75D92D4E"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3370B6D1"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net revenue (other)</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22344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3BBAF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81752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77E23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1.09%</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A2EF0C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1.86%</w:t>
            </w:r>
          </w:p>
        </w:tc>
      </w:tr>
      <w:tr w:rsidR="00D85712" w:rsidRPr="003A0A70" w14:paraId="579A674B"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27AC1022"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Accrued &amp; other current liabilities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F3B98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11.75%</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20327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9.56%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3D370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10.22%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74F709"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10.07%</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E35F8E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12.98%</w:t>
            </w:r>
          </w:p>
        </w:tc>
      </w:tr>
      <w:tr w:rsidR="00D85712" w:rsidRPr="003A0A70" w14:paraId="48307DBC"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59799CFC"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0.75% convertible senior notes due 2016, net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88493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6E6CE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546ED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2C623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2.28%</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6C03EA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9.84%</w:t>
            </w:r>
          </w:p>
        </w:tc>
      </w:tr>
      <w:tr w:rsidR="00D85712" w:rsidRPr="003A0A70" w14:paraId="289ADA63"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075472E3"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net revenue (online-enabled games)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C81CE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12.28%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0A54E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18.90%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67696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19.94%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442FB9"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20.69%</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8E79DB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20.98%</w:t>
            </w:r>
          </w:p>
        </w:tc>
      </w:tr>
      <w:tr w:rsidR="00D85712" w:rsidRPr="003A0A70" w14:paraId="49B8AE69"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57B8DE6E"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current liabilities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3A135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25.29%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045089"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29.02%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927B8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31.29%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98AE4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34.31%</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676285E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44.91%</w:t>
            </w:r>
          </w:p>
        </w:tc>
      </w:tr>
      <w:tr w:rsidR="00D85712" w:rsidRPr="003A0A70" w14:paraId="3EA4DCA2"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4D07DFC4"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Senior notes, net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20321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11.10%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2DF4D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11.56%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17CD0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12.83%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2254D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14.03%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21DDC9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D85712" w:rsidRPr="003A0A70" w14:paraId="54EFB968"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55B100C7"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Income tax obligations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77A88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896C3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2.91%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09F2D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B53589"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1.14%</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54D39B0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1.14%</w:t>
            </w:r>
          </w:p>
        </w:tc>
      </w:tr>
      <w:tr w:rsidR="00D85712" w:rsidRPr="003A0A70" w14:paraId="27ECFEF4"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0BA89E68"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income taxes, net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D1A42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93DBC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63A9E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78D9E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4B4B6EF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1.31%</w:t>
            </w:r>
          </w:p>
        </w:tc>
      </w:tr>
      <w:tr w:rsidR="00D85712" w:rsidRPr="003A0A70" w14:paraId="251E90BB"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49FDAED5"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Other liabilities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28F33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06D2D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2.97%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D3E18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805DF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2.31%</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20A2EB0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2.99%</w:t>
            </w:r>
          </w:p>
        </w:tc>
      </w:tr>
      <w:tr w:rsidR="00D85712" w:rsidRPr="003A0A70" w14:paraId="024886D9"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20A32A15"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liabilities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921A6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40.48%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0CCDA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46.47%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3A0B0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47.40%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C7094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51.82%</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2BBCBA6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50.36%</w:t>
            </w:r>
          </w:p>
        </w:tc>
      </w:tr>
      <w:tr w:rsidR="00D85712" w:rsidRPr="003A0A70" w14:paraId="51E5F836"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3369DC7E"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0.75% convertible senior notes due 2016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3CA750"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EB9B3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AEE0F3"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F8C52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0.03%</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2AB08B8A"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0.51%</w:t>
            </w:r>
          </w:p>
        </w:tc>
      </w:tr>
      <w:tr w:rsidR="00D85712" w:rsidRPr="003A0A70" w14:paraId="286584FB"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7E70099A"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Common stock</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2D5EE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9F2E8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C8734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FBC8F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6559282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0.05%</w:t>
            </w:r>
          </w:p>
        </w:tc>
      </w:tr>
      <w:tr w:rsidR="00D85712" w:rsidRPr="003A0A70" w14:paraId="2549975B"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59AB68D9"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Additional paid-in capital</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E23A9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EF03C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7.65%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6FECD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13.59%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DDB2E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19.14%</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5424DD4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34.78%</w:t>
            </w:r>
          </w:p>
        </w:tc>
      </w:tr>
      <w:tr w:rsidR="00D85712" w:rsidRPr="003A0A70" w14:paraId="7C0D13D8"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13404398"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Retained earnings (accumulated deficit)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6DE74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59.82%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4E461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47.32%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E3BC2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39.22%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B59E79"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29.23%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708D6949"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14.78%</w:t>
            </w:r>
          </w:p>
        </w:tc>
      </w:tr>
      <w:tr w:rsidR="00D85712" w:rsidRPr="003A0A70" w14:paraId="7ED78D1F"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1CBF4F44"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lastRenderedPageBreak/>
              <w:t>Unrealized gains (losses) on available-for-sale securities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5098A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FE0EC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8A7BF4"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C2234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0.01%</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0ED0E46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-0.05%</w:t>
            </w:r>
          </w:p>
        </w:tc>
      </w:tr>
      <w:tr w:rsidR="00D85712" w:rsidRPr="003A0A70" w14:paraId="68075353"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2E4DDD91"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Unrealized gains (losses) on derivative instruments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39CE87"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0.25%</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B4FC7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47338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90C65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516D57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0.34%</w:t>
            </w:r>
          </w:p>
        </w:tc>
      </w:tr>
      <w:tr w:rsidR="00D85712" w:rsidRPr="003A0A70" w14:paraId="40923253"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vAlign w:val="bottom"/>
            <w:hideMark/>
          </w:tcPr>
          <w:p w14:paraId="7C1479FB"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Foreign currency translation adjustments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98826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D06D5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FF38A2"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2C8821"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-0.44%</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006F155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-0.26%</w:t>
            </w:r>
          </w:p>
        </w:tc>
      </w:tr>
      <w:tr w:rsidR="00D85712" w:rsidRPr="003A0A70" w14:paraId="41D5E1B9"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B8CCE4" w:fill="B8CCE4"/>
            <w:vAlign w:val="bottom"/>
            <w:hideMark/>
          </w:tcPr>
          <w:p w14:paraId="43A168D4"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Accumulated other comprehensive income (loss)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3F67A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794FC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F78A9F"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-0.25%</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8DC81C"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242A58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0.03%</w:t>
            </w:r>
          </w:p>
        </w:tc>
      </w:tr>
      <w:tr w:rsidR="00D85712" w:rsidRPr="003A0A70" w14:paraId="6C7AE3BC" w14:textId="77777777" w:rsidTr="00D85712">
        <w:trPr>
          <w:trHeight w:val="288"/>
        </w:trPr>
        <w:tc>
          <w:tcPr>
            <w:tcW w:w="2304" w:type="dxa"/>
            <w:tcBorders>
              <w:top w:val="single" w:sz="4" w:space="0" w:color="FFFFFF"/>
              <w:left w:val="nil"/>
              <w:bottom w:val="single" w:sz="4" w:space="0" w:color="FFFFFF"/>
              <w:right w:val="single" w:sz="4" w:space="0" w:color="FFFFFF"/>
            </w:tcBorders>
            <w:shd w:val="clear" w:color="DCE6F1" w:fill="DCE6F1"/>
            <w:noWrap/>
            <w:vAlign w:val="bottom"/>
            <w:hideMark/>
          </w:tcPr>
          <w:p w14:paraId="45414555"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stockholders' equity</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0DA08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59.52%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D41BE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53.53%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405EF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52.60%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88EE78"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48.18%</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51315446"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49.64%</w:t>
            </w:r>
          </w:p>
        </w:tc>
      </w:tr>
      <w:tr w:rsidR="00D85712" w:rsidRPr="003A0A70" w14:paraId="43800C49" w14:textId="77777777" w:rsidTr="00D85712">
        <w:trPr>
          <w:trHeight w:val="288"/>
        </w:trPr>
        <w:tc>
          <w:tcPr>
            <w:tcW w:w="2304" w:type="dxa"/>
            <w:tcBorders>
              <w:top w:val="single" w:sz="4" w:space="0" w:color="FFFFFF"/>
              <w:left w:val="nil"/>
              <w:bottom w:val="nil"/>
              <w:right w:val="single" w:sz="4" w:space="0" w:color="FFFFFF"/>
            </w:tcBorders>
            <w:shd w:val="clear" w:color="B8CCE4" w:fill="B8CCE4"/>
            <w:vAlign w:val="bottom"/>
            <w:hideMark/>
          </w:tcPr>
          <w:p w14:paraId="417F8920" w14:textId="77777777" w:rsidR="003D28E1" w:rsidRPr="003A0A70" w:rsidRDefault="003D28E1" w:rsidP="003D28E1">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liabilities and shareholder's equity</w:t>
            </w:r>
          </w:p>
        </w:tc>
        <w:tc>
          <w:tcPr>
            <w:tcW w:w="1440" w:type="dxa"/>
            <w:tcBorders>
              <w:top w:val="single" w:sz="4" w:space="0" w:color="FFFFFF"/>
              <w:left w:val="single" w:sz="4" w:space="0" w:color="FFFFFF"/>
              <w:bottom w:val="nil"/>
              <w:right w:val="single" w:sz="4" w:space="0" w:color="FFFFFF"/>
            </w:tcBorders>
            <w:shd w:val="clear" w:color="B8CCE4" w:fill="B8CCE4"/>
            <w:noWrap/>
            <w:vAlign w:val="bottom"/>
            <w:hideMark/>
          </w:tcPr>
          <w:p w14:paraId="54BC64C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nil"/>
              <w:right w:val="single" w:sz="4" w:space="0" w:color="FFFFFF"/>
            </w:tcBorders>
            <w:shd w:val="clear" w:color="B8CCE4" w:fill="B8CCE4"/>
            <w:noWrap/>
            <w:vAlign w:val="bottom"/>
            <w:hideMark/>
          </w:tcPr>
          <w:p w14:paraId="5A72B2BB"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nil"/>
              <w:right w:val="single" w:sz="4" w:space="0" w:color="FFFFFF"/>
            </w:tcBorders>
            <w:shd w:val="clear" w:color="B8CCE4" w:fill="B8CCE4"/>
            <w:noWrap/>
            <w:vAlign w:val="bottom"/>
            <w:hideMark/>
          </w:tcPr>
          <w:p w14:paraId="7D3F8F9D"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nil"/>
              <w:right w:val="single" w:sz="4" w:space="0" w:color="FFFFFF"/>
            </w:tcBorders>
            <w:shd w:val="clear" w:color="B8CCE4" w:fill="B8CCE4"/>
            <w:noWrap/>
            <w:vAlign w:val="bottom"/>
            <w:hideMark/>
          </w:tcPr>
          <w:p w14:paraId="0A757885"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nil"/>
              <w:right w:val="nil"/>
            </w:tcBorders>
            <w:shd w:val="clear" w:color="B8CCE4" w:fill="B8CCE4"/>
            <w:noWrap/>
            <w:vAlign w:val="bottom"/>
            <w:hideMark/>
          </w:tcPr>
          <w:p w14:paraId="579D2ACE" w14:textId="77777777" w:rsidR="003D28E1" w:rsidRPr="003A0A70" w:rsidRDefault="003D28E1" w:rsidP="003D28E1">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r>
      <w:bookmarkEnd w:id="9"/>
    </w:tbl>
    <w:p w14:paraId="5B64F69D" w14:textId="77777777" w:rsidR="00D85712" w:rsidRPr="003A0A70" w:rsidRDefault="00D85712" w:rsidP="00132C97">
      <w:pPr>
        <w:shd w:val="clear" w:color="auto" w:fill="FFFFFF"/>
        <w:spacing w:line="480" w:lineRule="auto"/>
        <w:rPr>
          <w:rFonts w:ascii="Times New Roman" w:eastAsia="Times New Roman" w:hAnsi="Times New Roman" w:cs="Times New Roman"/>
          <w:color w:val="333333"/>
          <w:sz w:val="24"/>
          <w:szCs w:val="24"/>
        </w:rPr>
      </w:pPr>
    </w:p>
    <w:tbl>
      <w:tblPr>
        <w:tblW w:w="9504" w:type="dxa"/>
        <w:tblLayout w:type="fixed"/>
        <w:tblLook w:val="04A0" w:firstRow="1" w:lastRow="0" w:firstColumn="1" w:lastColumn="0" w:noHBand="0" w:noVBand="1"/>
      </w:tblPr>
      <w:tblGrid>
        <w:gridCol w:w="1530"/>
        <w:gridCol w:w="774"/>
        <w:gridCol w:w="1440"/>
        <w:gridCol w:w="1440"/>
        <w:gridCol w:w="1440"/>
        <w:gridCol w:w="1440"/>
        <w:gridCol w:w="1440"/>
      </w:tblGrid>
      <w:tr w:rsidR="005E74CB" w:rsidRPr="003A0A70" w14:paraId="425EEE8C" w14:textId="77777777" w:rsidTr="003D28E1">
        <w:trPr>
          <w:trHeight w:val="405"/>
        </w:trPr>
        <w:tc>
          <w:tcPr>
            <w:tcW w:w="1530" w:type="dxa"/>
            <w:tcBorders>
              <w:top w:val="nil"/>
              <w:left w:val="nil"/>
              <w:bottom w:val="single" w:sz="12" w:space="0" w:color="4F81BD"/>
              <w:right w:val="nil"/>
            </w:tcBorders>
            <w:shd w:val="clear" w:color="000000" w:fill="B8CCE4"/>
            <w:noWrap/>
            <w:vAlign w:val="bottom"/>
            <w:hideMark/>
          </w:tcPr>
          <w:p w14:paraId="0C316E93" w14:textId="77777777" w:rsidR="005E74CB" w:rsidRPr="003A0A70" w:rsidRDefault="005E74CB" w:rsidP="005E74CB">
            <w:pPr>
              <w:spacing w:after="0" w:line="240" w:lineRule="auto"/>
              <w:rPr>
                <w:rFonts w:ascii="Times New Roman" w:eastAsia="Times New Roman" w:hAnsi="Times New Roman" w:cs="Times New Roman"/>
                <w:b/>
                <w:bCs/>
                <w:color w:val="1F497D"/>
                <w:sz w:val="24"/>
                <w:szCs w:val="24"/>
              </w:rPr>
            </w:pPr>
            <w:r w:rsidRPr="003A0A70">
              <w:rPr>
                <w:rFonts w:ascii="Times New Roman" w:eastAsia="Times New Roman" w:hAnsi="Times New Roman" w:cs="Times New Roman"/>
                <w:b/>
                <w:bCs/>
                <w:color w:val="1F497D"/>
                <w:sz w:val="24"/>
                <w:szCs w:val="24"/>
              </w:rPr>
              <w:t>Appendix C</w:t>
            </w:r>
          </w:p>
        </w:tc>
        <w:tc>
          <w:tcPr>
            <w:tcW w:w="7974" w:type="dxa"/>
            <w:gridSpan w:val="6"/>
            <w:tcBorders>
              <w:top w:val="nil"/>
              <w:left w:val="nil"/>
              <w:bottom w:val="nil"/>
              <w:right w:val="nil"/>
            </w:tcBorders>
            <w:shd w:val="clear" w:color="000000" w:fill="B8CCE4"/>
            <w:noWrap/>
            <w:vAlign w:val="bottom"/>
            <w:hideMark/>
          </w:tcPr>
          <w:p w14:paraId="5F6BB72C" w14:textId="77777777" w:rsidR="005E74CB" w:rsidRPr="003A0A70" w:rsidRDefault="005E74CB" w:rsidP="005E74CB">
            <w:pPr>
              <w:spacing w:after="0" w:line="240" w:lineRule="auto"/>
              <w:jc w:val="center"/>
              <w:rPr>
                <w:rFonts w:ascii="Times New Roman" w:eastAsia="Times New Roman" w:hAnsi="Times New Roman" w:cs="Times New Roman"/>
                <w:b/>
                <w:bCs/>
                <w:color w:val="1F497D"/>
                <w:sz w:val="24"/>
                <w:szCs w:val="24"/>
              </w:rPr>
            </w:pPr>
            <w:r w:rsidRPr="003A0A70">
              <w:rPr>
                <w:rFonts w:ascii="Times New Roman" w:eastAsia="Times New Roman" w:hAnsi="Times New Roman" w:cs="Times New Roman"/>
                <w:b/>
                <w:bCs/>
                <w:color w:val="1F497D"/>
                <w:sz w:val="24"/>
                <w:szCs w:val="24"/>
              </w:rPr>
              <w:t>Activision Blizzard - Common-Size Balance Sheet</w:t>
            </w:r>
          </w:p>
        </w:tc>
      </w:tr>
      <w:tr w:rsidR="005E74CB" w:rsidRPr="003A0A70" w14:paraId="09B740F3" w14:textId="77777777" w:rsidTr="003D28E1">
        <w:trPr>
          <w:trHeight w:val="270"/>
        </w:trPr>
        <w:tc>
          <w:tcPr>
            <w:tcW w:w="2304" w:type="dxa"/>
            <w:gridSpan w:val="2"/>
            <w:tcBorders>
              <w:top w:val="nil"/>
              <w:left w:val="nil"/>
              <w:bottom w:val="single" w:sz="12" w:space="0" w:color="FFFFFF"/>
              <w:right w:val="single" w:sz="4" w:space="0" w:color="FFFFFF"/>
            </w:tcBorders>
            <w:shd w:val="clear" w:color="4F81BD" w:fill="4F81BD"/>
            <w:hideMark/>
          </w:tcPr>
          <w:p w14:paraId="4EF24959" w14:textId="77777777" w:rsidR="005E74CB" w:rsidRPr="003A0A70" w:rsidRDefault="005E74CB" w:rsidP="005E74CB">
            <w:pPr>
              <w:spacing w:after="0" w:line="240" w:lineRule="auto"/>
              <w:jc w:val="right"/>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 xml:space="preserve"> </w:t>
            </w:r>
          </w:p>
        </w:tc>
        <w:tc>
          <w:tcPr>
            <w:tcW w:w="1440" w:type="dxa"/>
            <w:tcBorders>
              <w:top w:val="nil"/>
              <w:left w:val="single" w:sz="4" w:space="0" w:color="FFFFFF"/>
              <w:bottom w:val="single" w:sz="12" w:space="0" w:color="FFFFFF"/>
              <w:right w:val="single" w:sz="4" w:space="0" w:color="FFFFFF"/>
            </w:tcBorders>
            <w:shd w:val="clear" w:color="4F81BD" w:fill="4F81BD"/>
            <w:noWrap/>
            <w:hideMark/>
          </w:tcPr>
          <w:p w14:paraId="3FF4C907" w14:textId="77777777" w:rsidR="005E74CB" w:rsidRPr="003A0A70" w:rsidRDefault="005E74CB" w:rsidP="005E74CB">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2019</w:t>
            </w:r>
          </w:p>
        </w:tc>
        <w:tc>
          <w:tcPr>
            <w:tcW w:w="1440" w:type="dxa"/>
            <w:tcBorders>
              <w:top w:val="nil"/>
              <w:left w:val="single" w:sz="4" w:space="0" w:color="FFFFFF"/>
              <w:bottom w:val="single" w:sz="12" w:space="0" w:color="FFFFFF"/>
              <w:right w:val="single" w:sz="4" w:space="0" w:color="FFFFFF"/>
            </w:tcBorders>
            <w:shd w:val="clear" w:color="4F81BD" w:fill="4F81BD"/>
            <w:noWrap/>
            <w:vAlign w:val="bottom"/>
            <w:hideMark/>
          </w:tcPr>
          <w:p w14:paraId="2CD0E863" w14:textId="77777777" w:rsidR="005E74CB" w:rsidRPr="003A0A70" w:rsidRDefault="005E74CB" w:rsidP="005E74CB">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2018</w:t>
            </w:r>
          </w:p>
        </w:tc>
        <w:tc>
          <w:tcPr>
            <w:tcW w:w="1440" w:type="dxa"/>
            <w:tcBorders>
              <w:top w:val="nil"/>
              <w:left w:val="single" w:sz="4" w:space="0" w:color="FFFFFF"/>
              <w:bottom w:val="single" w:sz="12" w:space="0" w:color="FFFFFF"/>
              <w:right w:val="single" w:sz="4" w:space="0" w:color="FFFFFF"/>
            </w:tcBorders>
            <w:shd w:val="clear" w:color="4F81BD" w:fill="4F81BD"/>
            <w:noWrap/>
            <w:vAlign w:val="bottom"/>
            <w:hideMark/>
          </w:tcPr>
          <w:p w14:paraId="656FE572" w14:textId="77777777" w:rsidR="005E74CB" w:rsidRPr="003A0A70" w:rsidRDefault="005E74CB" w:rsidP="005E74CB">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2017</w:t>
            </w:r>
          </w:p>
        </w:tc>
        <w:tc>
          <w:tcPr>
            <w:tcW w:w="1440" w:type="dxa"/>
            <w:tcBorders>
              <w:top w:val="nil"/>
              <w:left w:val="single" w:sz="4" w:space="0" w:color="FFFFFF"/>
              <w:bottom w:val="single" w:sz="12" w:space="0" w:color="FFFFFF"/>
              <w:right w:val="single" w:sz="4" w:space="0" w:color="FFFFFF"/>
            </w:tcBorders>
            <w:shd w:val="clear" w:color="4F81BD" w:fill="4F81BD"/>
            <w:noWrap/>
            <w:vAlign w:val="bottom"/>
            <w:hideMark/>
          </w:tcPr>
          <w:p w14:paraId="10C22B32" w14:textId="77777777" w:rsidR="005E74CB" w:rsidRPr="003A0A70" w:rsidRDefault="005E74CB" w:rsidP="005E74CB">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2016</w:t>
            </w:r>
          </w:p>
        </w:tc>
        <w:tc>
          <w:tcPr>
            <w:tcW w:w="1440" w:type="dxa"/>
            <w:tcBorders>
              <w:top w:val="nil"/>
              <w:left w:val="single" w:sz="4" w:space="0" w:color="FFFFFF"/>
              <w:bottom w:val="single" w:sz="12" w:space="0" w:color="FFFFFF"/>
              <w:right w:val="nil"/>
            </w:tcBorders>
            <w:shd w:val="clear" w:color="4F81BD" w:fill="4F81BD"/>
            <w:noWrap/>
            <w:vAlign w:val="bottom"/>
            <w:hideMark/>
          </w:tcPr>
          <w:p w14:paraId="03FFDC68" w14:textId="77777777" w:rsidR="005E74CB" w:rsidRPr="003A0A70" w:rsidRDefault="005E74CB" w:rsidP="005E74CB">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2015</w:t>
            </w:r>
          </w:p>
        </w:tc>
      </w:tr>
      <w:tr w:rsidR="005E74CB" w:rsidRPr="003A0A70" w14:paraId="1FF449E7"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56436279"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Cash</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259EA3"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43B58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97952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41808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1.64%</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DEBF3C9"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1.15%</w:t>
            </w:r>
          </w:p>
        </w:tc>
      </w:tr>
      <w:tr w:rsidR="005E74CB" w:rsidRPr="003A0A70" w14:paraId="30135D2C"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79C3DB43"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Foreign government treasury bills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BF89F4"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1C562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21909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B6132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0.22%</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2C0AA973"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0.22%</w:t>
            </w:r>
          </w:p>
        </w:tc>
      </w:tr>
      <w:tr w:rsidR="005E74CB" w:rsidRPr="003A0A70" w14:paraId="30526789"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71EA23E5"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Money market funds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6FE9E6"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26.81%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6CF0F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22.01%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665BA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23.60%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D7CB0B"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16.74%</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A95650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10.58%</w:t>
            </w:r>
          </w:p>
        </w:tc>
      </w:tr>
      <w:tr w:rsidR="005E74CB" w:rsidRPr="003A0A70" w14:paraId="697352E6"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645AB501"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Cash &amp; cash equivalents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DED716"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29.20%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EE13C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23.69%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7A6AC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25.25%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5F1CD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18.59%</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0BE19DE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11.95%</w:t>
            </w:r>
          </w:p>
        </w:tc>
      </w:tr>
      <w:tr w:rsidR="005E74CB" w:rsidRPr="003A0A70" w14:paraId="14F2ABC6"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0840334D"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Short-term investments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FCBA1C"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7C934B"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2B9D4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3CADF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0FE9BC8A"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0.05%</w:t>
            </w:r>
          </w:p>
        </w:tc>
      </w:tr>
      <w:tr w:rsidR="005E74CB" w:rsidRPr="003A0A70" w14:paraId="2817B1EF"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3CB48782"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Account receivable, gross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BF6DBD"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E1D63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6.87%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E3947B"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6.41%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C41BC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5.69%</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676BA7F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6.70%</w:t>
            </w:r>
          </w:p>
        </w:tc>
      </w:tr>
      <w:tr w:rsidR="005E74CB" w:rsidRPr="003A0A70" w14:paraId="6BD04CEF"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3011D353"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Less: allowances - accounts receivable</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E4E527"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37E66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8DEF9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2CE08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65AE53C3"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2.25%</w:t>
            </w:r>
          </w:p>
        </w:tc>
      </w:tr>
      <w:tr w:rsidR="005E74CB" w:rsidRPr="003A0A70" w14:paraId="4BF476D3"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312458A6"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Accounts receivable, net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699A77"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4.27%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57AFF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5.80%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070779"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B69E4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4.19%</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17E1C94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4.45%</w:t>
            </w:r>
          </w:p>
        </w:tc>
      </w:tr>
      <w:tr w:rsidR="005E74CB" w:rsidRPr="003A0A70" w14:paraId="0DC84718"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7C7F4D0C"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Finished goods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BBC1BE"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045D9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86E283"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AC9D13"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4812A171"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0.66%</w:t>
            </w:r>
          </w:p>
        </w:tc>
      </w:tr>
      <w:tr w:rsidR="005E74CB" w:rsidRPr="003A0A70" w14:paraId="0F240209"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575C0B6E"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Purchased parts &amp; components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2F5F25"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61BC4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818FB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74531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0.05%</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6FA45A2A"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0.18%</w:t>
            </w:r>
          </w:p>
        </w:tc>
      </w:tr>
      <w:tr w:rsidR="005E74CB" w:rsidRPr="003A0A70" w14:paraId="35ABFF3A"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736EC1A6"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Inventories, net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07E7D9"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567B6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C9C75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0.25%</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F1E84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0.28%</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63685C5B"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0.84%</w:t>
            </w:r>
          </w:p>
        </w:tc>
      </w:tr>
      <w:tr w:rsidR="005E74CB" w:rsidRPr="003A0A70" w14:paraId="77288D5B"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226B2AB1"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Software development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517AE2"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E3D48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5CB06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E95C0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2.36%</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247D54B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2.20%</w:t>
            </w:r>
          </w:p>
        </w:tc>
      </w:tr>
      <w:tr w:rsidR="005E74CB" w:rsidRPr="003A0A70" w14:paraId="336C9DE1"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69C3CCD3"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Intellectual property licenses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95A2BB"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909ED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2BC10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99189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1A5113A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0.20%</w:t>
            </w:r>
          </w:p>
        </w:tc>
      </w:tr>
      <w:tr w:rsidR="005E74CB" w:rsidRPr="003A0A70" w14:paraId="458B15F0"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68F185E5"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Other current assets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AA9522"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28054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3.02%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5E688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DCDBA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2.25%</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08E49DE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2.51%</w:t>
            </w:r>
          </w:p>
        </w:tc>
      </w:tr>
      <w:tr w:rsidR="005E74CB" w:rsidRPr="003A0A70" w14:paraId="05F27D39"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03D582AA"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lastRenderedPageBreak/>
              <w:t>Total current assets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026B81"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36.74%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E31319"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34.24%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607AC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34.93%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51FB5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27.68%</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A23AEB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22.21%</w:t>
            </w:r>
          </w:p>
        </w:tc>
      </w:tr>
      <w:tr w:rsidR="005E74CB" w:rsidRPr="003A0A70" w14:paraId="7AEDC935"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42BAA5E9"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Cash in escrow</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7BA9F3"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337BA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1AE41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AC67C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916CE1B"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23.35%</w:t>
            </w:r>
          </w:p>
        </w:tc>
      </w:tr>
      <w:tr w:rsidR="005E74CB" w:rsidRPr="003A0A70" w14:paraId="0FD45204"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0F4CE992"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Long-term investments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A94E7F"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352A6A"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A8FAE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AE33F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270BEEC9"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0.06%</w:t>
            </w:r>
          </w:p>
        </w:tc>
      </w:tr>
      <w:tr w:rsidR="005E74CB" w:rsidRPr="003A0A70" w14:paraId="7C02F9ED"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5F5B1162"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Software development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B6C3B4"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7EA7D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F96F3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2D87B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0.31%</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1FBBA05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0.52%</w:t>
            </w:r>
          </w:p>
        </w:tc>
      </w:tr>
      <w:tr w:rsidR="005E74CB" w:rsidRPr="003A0A70" w14:paraId="7ADF1D6D"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193AEE83"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Land</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DCE359"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0A72F3"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E88EC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BAFCA1"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0.01%</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47A8221"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0.01%</w:t>
            </w:r>
          </w:p>
        </w:tc>
      </w:tr>
      <w:tr w:rsidR="005E74CB" w:rsidRPr="003A0A70" w14:paraId="43B81D7B"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5C78DEF3"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Buildings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0DEFF6"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BB887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6FC7E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54AE0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50A421F9"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0.03%</w:t>
            </w:r>
          </w:p>
        </w:tc>
      </w:tr>
      <w:tr w:rsidR="005E74CB" w:rsidRPr="003A0A70" w14:paraId="25265DB7"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094FD13A"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Leasehold improvements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1A53DE"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10558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ADC26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07E99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0.93%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679A4A6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0.71%</w:t>
            </w:r>
          </w:p>
        </w:tc>
      </w:tr>
      <w:tr w:rsidR="005E74CB" w:rsidRPr="003A0A70" w14:paraId="49C6CF50"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4BE603B5"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Computer equipment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290281"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3.30%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52013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3.92%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0508C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3.52%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2E687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3.21%</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A69D96B"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2.83%</w:t>
            </w:r>
          </w:p>
        </w:tc>
      </w:tr>
      <w:tr w:rsidR="005E74CB" w:rsidRPr="003A0A70" w14:paraId="1AA35F2A"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6B0C0A33"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Office furniture &amp; other equipment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F03413"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0A85F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C1E5AA"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94868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0.45%</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8FA6FE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0.34%</w:t>
            </w:r>
          </w:p>
        </w:tc>
      </w:tr>
      <w:tr w:rsidR="005E74CB" w:rsidRPr="003A0A70" w14:paraId="7C03BB34"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08867FDD"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cost of property &amp; equipment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E3FE34"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5.05%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9BDE3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5.90%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A8CF3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5.24%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21D4F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4.61%</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60F3976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3.91%</w:t>
            </w:r>
          </w:p>
        </w:tc>
      </w:tr>
      <w:tr w:rsidR="005E74CB" w:rsidRPr="003A0A70" w14:paraId="6C9E7EA0"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3631BEF7"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Less: accumulated depreciation</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77D3FC"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3.77%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0C449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4.32%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B0FB4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3.67%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A3934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3.13%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0455DA2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2.68%</w:t>
            </w:r>
          </w:p>
        </w:tc>
      </w:tr>
      <w:tr w:rsidR="005E74CB" w:rsidRPr="003A0A70" w14:paraId="30E2D598"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176CC161"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Property &amp; equipment, net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436674"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BE3D2B"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3D69F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1736A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1.48%</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39832D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1.24%</w:t>
            </w:r>
          </w:p>
        </w:tc>
      </w:tr>
      <w:tr w:rsidR="005E74CB" w:rsidRPr="003A0A70" w14:paraId="2C83D174"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0928F553"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income taxes, net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58211C"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6.52%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FAEC3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45BB6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34013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1.62%</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171F72C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1.80%</w:t>
            </w:r>
          </w:p>
        </w:tc>
      </w:tr>
      <w:tr w:rsidR="005E74CB" w:rsidRPr="003A0A70" w14:paraId="7C9FEFB1"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580724B5"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Other assets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181E3B"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3.32%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4C752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2.70%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3844F1"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B9CC9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14EA53D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1.13%</w:t>
            </w:r>
          </w:p>
        </w:tc>
      </w:tr>
      <w:tr w:rsidR="005E74CB" w:rsidRPr="003A0A70" w14:paraId="5B51499D"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1EBB522A"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Intangible assets, net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4BC849"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4F66B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4.12%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25792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5.92%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A5260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10.65%</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4CB1C7F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0.32%</w:t>
            </w:r>
          </w:p>
        </w:tc>
      </w:tr>
      <w:tr w:rsidR="005E74CB" w:rsidRPr="003A0A70" w14:paraId="5C1E7278"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5881E1AD"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Trademark &amp; trade names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BB9B4B"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413FD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3C2D9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AEFDE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A4FA29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2.84%</w:t>
            </w:r>
          </w:p>
        </w:tc>
      </w:tr>
      <w:tr w:rsidR="005E74CB" w:rsidRPr="003A0A70" w14:paraId="171A16E1"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171A552A"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Goodwill</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41F17D"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49.20%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DA425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54.74%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2F0B93"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52.30%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DBBA5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55.97%</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787FDA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46.52%</w:t>
            </w:r>
          </w:p>
        </w:tc>
      </w:tr>
      <w:tr w:rsidR="005E74CB" w:rsidRPr="003A0A70" w14:paraId="14577A65"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5EEC8636"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assets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E5A29B"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9BD7B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B0802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30E96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4876E5B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r>
      <w:tr w:rsidR="005E74CB" w:rsidRPr="003A0A70" w14:paraId="60B3A5B7"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7AFF312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0DBBC7" w14:textId="77777777" w:rsidR="005E74CB" w:rsidRPr="003A0A70" w:rsidRDefault="005E74CB" w:rsidP="005E74CB">
            <w:pPr>
              <w:spacing w:after="0" w:line="240" w:lineRule="auto"/>
              <w:rPr>
                <w:rFonts w:ascii="Times New Roman" w:eastAsia="Times New Roman" w:hAnsi="Times New Roman" w:cs="Times New Roman"/>
                <w:sz w:val="24"/>
                <w:szCs w:val="24"/>
              </w:rPr>
            </w:pP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E978AA" w14:textId="77777777" w:rsidR="005E74CB" w:rsidRPr="003A0A70" w:rsidRDefault="005E74CB" w:rsidP="005E74CB">
            <w:pPr>
              <w:spacing w:after="0" w:line="240" w:lineRule="auto"/>
              <w:rPr>
                <w:rFonts w:ascii="Times New Roman" w:eastAsia="Times New Roman" w:hAnsi="Times New Roman" w:cs="Times New Roman"/>
                <w:sz w:val="24"/>
                <w:szCs w:val="24"/>
              </w:rPr>
            </w:pP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C6F483" w14:textId="77777777" w:rsidR="005E74CB" w:rsidRPr="003A0A70" w:rsidRDefault="005E74CB" w:rsidP="005E74CB">
            <w:pPr>
              <w:spacing w:after="0" w:line="240" w:lineRule="auto"/>
              <w:rPr>
                <w:rFonts w:ascii="Times New Roman" w:eastAsia="Times New Roman" w:hAnsi="Times New Roman" w:cs="Times New Roman"/>
                <w:sz w:val="24"/>
                <w:szCs w:val="24"/>
              </w:rPr>
            </w:pP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9F2EDD" w14:textId="77777777" w:rsidR="005E74CB" w:rsidRPr="003A0A70" w:rsidRDefault="005E74CB" w:rsidP="005E74CB">
            <w:pPr>
              <w:spacing w:after="0" w:line="240" w:lineRule="auto"/>
              <w:rPr>
                <w:rFonts w:ascii="Times New Roman" w:eastAsia="Times New Roman" w:hAnsi="Times New Roman" w:cs="Times New Roman"/>
                <w:sz w:val="24"/>
                <w:szCs w:val="24"/>
              </w:rPr>
            </w:pP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4BD5B5FE" w14:textId="77777777" w:rsidR="005E74CB" w:rsidRPr="003A0A70" w:rsidRDefault="005E74CB" w:rsidP="005E74CB">
            <w:pPr>
              <w:spacing w:after="0" w:line="240" w:lineRule="auto"/>
              <w:rPr>
                <w:rFonts w:ascii="Times New Roman" w:eastAsia="Times New Roman" w:hAnsi="Times New Roman" w:cs="Times New Roman"/>
                <w:sz w:val="24"/>
                <w:szCs w:val="24"/>
              </w:rPr>
            </w:pPr>
          </w:p>
        </w:tc>
      </w:tr>
      <w:tr w:rsidR="005E74CB" w:rsidRPr="003A0A70" w14:paraId="51928752"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66E95284"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Accounts payable</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0F8785"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CEAC9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BF19C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1.73%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4DD99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1.27%</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CA142F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1.86%</w:t>
            </w:r>
          </w:p>
        </w:tc>
      </w:tr>
      <w:tr w:rsidR="005E74CB" w:rsidRPr="003A0A70" w14:paraId="0D32085A"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7D5E3837"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revenues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9F979C"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6.93%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87F87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8.37%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52C67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10.33%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93AA2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9.33%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63F3708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11.16%</w:t>
            </w:r>
          </w:p>
        </w:tc>
      </w:tr>
      <w:tr w:rsidR="005E74CB" w:rsidRPr="003A0A70" w14:paraId="66091F21"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53771579"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Accrued expenses &amp; other liabilities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7FA651"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6.29%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1C1F5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5.02%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EBCD2A"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7.56%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2A755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4.62%</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03E43D1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4.10%</w:t>
            </w:r>
          </w:p>
        </w:tc>
      </w:tr>
      <w:tr w:rsidR="005E74CB" w:rsidRPr="003A0A70" w14:paraId="6EB1F5D8"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06FC2B87"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current liabilities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1E9B29"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14.69%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33217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14.81%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97236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19.62%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35EC1A"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15.22%</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28AF789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17.12%</w:t>
            </w:r>
          </w:p>
        </w:tc>
      </w:tr>
      <w:tr w:rsidR="005E74CB" w:rsidRPr="003A0A70" w14:paraId="23299743"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3C315A20"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Term loan</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5B64CD"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36EAE1"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DDB4D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5.30%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6FAD0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15.41%</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254D57A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12.25%</w:t>
            </w:r>
          </w:p>
        </w:tc>
      </w:tr>
      <w:tr w:rsidR="005E74CB" w:rsidRPr="003A0A70" w14:paraId="2E4278DD"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0D9CB225"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Notes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6AEFE3"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13.61%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81A50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15.14%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A4643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18.48%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A5830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12.89%</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7DA140D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14.75%</w:t>
            </w:r>
          </w:p>
        </w:tc>
      </w:tr>
      <w:tr w:rsidR="005E74CB" w:rsidRPr="003A0A70" w14:paraId="14AFE5B2"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472385A2"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debt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CA7F67"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13.61%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866D4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15.14%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1C2FD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23.78%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641129"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28.31%</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54F34BC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27.01%</w:t>
            </w:r>
          </w:p>
        </w:tc>
      </w:tr>
      <w:tr w:rsidR="005E74CB" w:rsidRPr="003A0A70" w14:paraId="069BC40E"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3B0B988F"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Unamortized discount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E876F2"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28095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FA3561"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DE929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4FABA31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-0.26%</w:t>
            </w:r>
          </w:p>
        </w:tc>
      </w:tr>
      <w:tr w:rsidR="005E74CB" w:rsidRPr="003A0A70" w14:paraId="530F37AC"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20BD10C0"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lastRenderedPageBreak/>
              <w:t>Unamortized discount &amp; deferred financing costs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384A0E"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7DA651"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626A3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916BF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00E7AE1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5E74CB" w:rsidRPr="003A0A70" w14:paraId="2ABD29D2"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09D7909D"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Long-term debt, net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D38EC9"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13.48%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196DE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14.98%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99987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23.52%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7C23B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28.00%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7A730CC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26.75%</w:t>
            </w:r>
          </w:p>
        </w:tc>
      </w:tr>
      <w:tr w:rsidR="005E74CB" w:rsidRPr="003A0A70" w14:paraId="105F0F39"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35FA31BC"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income taxes, net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52C7F8"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CE6AA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DE88A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2D0513"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0.25%</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1328695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0.07%</w:t>
            </w:r>
          </w:p>
        </w:tc>
      </w:tr>
      <w:tr w:rsidR="005E74CB" w:rsidRPr="003A0A70" w14:paraId="78FFF614"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29D7A98B"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Other liabilities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8FF6F0"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012CE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6.43%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2574D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6.06%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000F6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4.27%</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045CD91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3.17%</w:t>
            </w:r>
          </w:p>
        </w:tc>
      </w:tr>
      <w:tr w:rsidR="005E74CB" w:rsidRPr="003A0A70" w14:paraId="4FA2554B"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0E90511C"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liabilities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844BC1"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35.47%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5B07E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36.32%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49F14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49.31%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B9B631"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47.75%</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408F2C4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47.10%</w:t>
            </w:r>
          </w:p>
        </w:tc>
      </w:tr>
      <w:tr w:rsidR="005E74CB" w:rsidRPr="003A0A70" w14:paraId="70A75DC5"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21AEEC40"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Additional paid-in capital</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AA0A19"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56.31%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52396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61.47%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71C3F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57.57%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78C683"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59.83%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10643DE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67.16%</w:t>
            </w:r>
          </w:p>
        </w:tc>
      </w:tr>
      <w:tr w:rsidR="005E74CB" w:rsidRPr="003A0A70" w14:paraId="248E5A24"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5FC537C4"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Less: treasury stock, at cost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F934F1"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28.03%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70DA1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31.19%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6C7F3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29.80%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589A3F"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31.88%</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2922511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36.96%</w:t>
            </w:r>
          </w:p>
        </w:tc>
      </w:tr>
      <w:tr w:rsidR="005E74CB" w:rsidRPr="003A0A70" w14:paraId="6E842539"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0424EF0C"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Retained earnings (accumulated deficit)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F35C47"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39.37%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27DD1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36.77%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5AB32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26.33%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96836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27.90%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2D3BE9C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26.86%</w:t>
            </w:r>
          </w:p>
        </w:tc>
      </w:tr>
      <w:tr w:rsidR="005E74CB" w:rsidRPr="003A0A70" w14:paraId="70F27E41"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5E94E2CF"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Foreign currency translation adjustments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CDF6A5"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-3.14%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7BCA71"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-3.53%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123B39"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-3.34%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76E24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-3.60%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9D4BA0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-4.13%</w:t>
            </w:r>
          </w:p>
        </w:tc>
      </w:tr>
      <w:tr w:rsidR="005E74CB" w:rsidRPr="003A0A70" w14:paraId="0676DCFC"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21E2756E"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Unrealized gain (loss) on forward contracts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BFD382"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21CDD5"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E259A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95CCA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77DA22D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-0.03%</w:t>
            </w:r>
          </w:p>
        </w:tc>
      </w:tr>
      <w:tr w:rsidR="005E74CB" w:rsidRPr="003A0A70" w14:paraId="72DE5F39"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19086B6B"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Unrealized gain on available-for-sale securities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0DA05D"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CE0E56"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08F181"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25A9D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21F298D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0.01%</w:t>
            </w:r>
          </w:p>
        </w:tc>
      </w:tr>
      <w:tr w:rsidR="005E74CB" w:rsidRPr="003A0A70" w14:paraId="702E484E"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57F7F5DB"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Accumulated other comprehensive income (loss)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9FBEFA"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-3.12%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6E76A8"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-3.37%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CACBD7"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-3.42%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FAFBE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-3.60%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A9DBB7B"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-4.15%</w:t>
            </w:r>
          </w:p>
        </w:tc>
      </w:tr>
      <w:tr w:rsidR="005E74CB" w:rsidRPr="003A0A70" w14:paraId="4860E9FC" w14:textId="77777777" w:rsidTr="003D28E1">
        <w:trPr>
          <w:trHeight w:val="360"/>
        </w:trPr>
        <w:tc>
          <w:tcPr>
            <w:tcW w:w="2304"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3A98C462"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shareholders' equity</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B2BABF"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64.53%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B2EE6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63.68%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6FD389"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50.69%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12EF82"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52.25%</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0D7B25AC"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52.90%</w:t>
            </w:r>
          </w:p>
        </w:tc>
      </w:tr>
      <w:tr w:rsidR="005E74CB" w:rsidRPr="003A0A70" w14:paraId="2026695E" w14:textId="77777777" w:rsidTr="003D28E1">
        <w:trPr>
          <w:trHeight w:val="255"/>
        </w:trPr>
        <w:tc>
          <w:tcPr>
            <w:tcW w:w="2304" w:type="dxa"/>
            <w:gridSpan w:val="2"/>
            <w:tcBorders>
              <w:top w:val="single" w:sz="4" w:space="0" w:color="FFFFFF"/>
              <w:left w:val="nil"/>
              <w:bottom w:val="nil"/>
              <w:right w:val="single" w:sz="4" w:space="0" w:color="FFFFFF"/>
            </w:tcBorders>
            <w:shd w:val="clear" w:color="B8CCE4" w:fill="B8CCE4"/>
            <w:noWrap/>
            <w:vAlign w:val="bottom"/>
            <w:hideMark/>
          </w:tcPr>
          <w:p w14:paraId="48FD52B8" w14:textId="00DFB77B"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 xml:space="preserve">Total Liabilities and </w:t>
            </w:r>
            <w:r w:rsidR="00FA2F96" w:rsidRPr="003A0A70">
              <w:rPr>
                <w:rFonts w:ascii="Times New Roman" w:eastAsia="Times New Roman" w:hAnsi="Times New Roman" w:cs="Times New Roman"/>
                <w:color w:val="000000"/>
                <w:sz w:val="24"/>
                <w:szCs w:val="24"/>
              </w:rPr>
              <w:t>Stockholders’</w:t>
            </w:r>
            <w:r w:rsidRPr="003A0A70">
              <w:rPr>
                <w:rFonts w:ascii="Times New Roman" w:eastAsia="Times New Roman" w:hAnsi="Times New Roman" w:cs="Times New Roman"/>
                <w:color w:val="000000"/>
                <w:sz w:val="24"/>
                <w:szCs w:val="24"/>
              </w:rPr>
              <w:t xml:space="preserve"> Equity</w:t>
            </w:r>
          </w:p>
        </w:tc>
        <w:tc>
          <w:tcPr>
            <w:tcW w:w="1440" w:type="dxa"/>
            <w:tcBorders>
              <w:top w:val="single" w:sz="4" w:space="0" w:color="FFFFFF"/>
              <w:left w:val="single" w:sz="4" w:space="0" w:color="FFFFFF"/>
              <w:bottom w:val="nil"/>
              <w:right w:val="single" w:sz="4" w:space="0" w:color="FFFFFF"/>
            </w:tcBorders>
            <w:shd w:val="clear" w:color="B8CCE4" w:fill="B8CCE4"/>
            <w:noWrap/>
            <w:vAlign w:val="bottom"/>
            <w:hideMark/>
          </w:tcPr>
          <w:p w14:paraId="395B4572" w14:textId="77777777" w:rsidR="005E74CB" w:rsidRPr="003A0A70" w:rsidRDefault="005E74CB" w:rsidP="005E74CB">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nil"/>
              <w:right w:val="single" w:sz="4" w:space="0" w:color="FFFFFF"/>
            </w:tcBorders>
            <w:shd w:val="clear" w:color="B8CCE4" w:fill="B8CCE4"/>
            <w:noWrap/>
            <w:vAlign w:val="bottom"/>
            <w:hideMark/>
          </w:tcPr>
          <w:p w14:paraId="7D83EFC4"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nil"/>
              <w:right w:val="single" w:sz="4" w:space="0" w:color="FFFFFF"/>
            </w:tcBorders>
            <w:shd w:val="clear" w:color="B8CCE4" w:fill="B8CCE4"/>
            <w:noWrap/>
            <w:vAlign w:val="bottom"/>
            <w:hideMark/>
          </w:tcPr>
          <w:p w14:paraId="49922BBD"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nil"/>
              <w:right w:val="single" w:sz="4" w:space="0" w:color="FFFFFF"/>
            </w:tcBorders>
            <w:shd w:val="clear" w:color="B8CCE4" w:fill="B8CCE4"/>
            <w:noWrap/>
            <w:vAlign w:val="bottom"/>
            <w:hideMark/>
          </w:tcPr>
          <w:p w14:paraId="07A4BD1E"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nil"/>
              <w:right w:val="nil"/>
            </w:tcBorders>
            <w:shd w:val="clear" w:color="B8CCE4" w:fill="B8CCE4"/>
            <w:noWrap/>
            <w:vAlign w:val="bottom"/>
            <w:hideMark/>
          </w:tcPr>
          <w:p w14:paraId="55F7D800" w14:textId="77777777" w:rsidR="005E74CB" w:rsidRPr="003A0A70" w:rsidRDefault="005E74CB" w:rsidP="005E74CB">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r>
    </w:tbl>
    <w:p w14:paraId="3A751F51" w14:textId="5B83F6F1" w:rsidR="00B06D3A" w:rsidRDefault="00B06D3A" w:rsidP="00515718">
      <w:pPr>
        <w:shd w:val="clear" w:color="auto" w:fill="FFFFFF"/>
        <w:spacing w:line="480" w:lineRule="auto"/>
        <w:rPr>
          <w:rFonts w:ascii="Times New Roman" w:eastAsia="Times New Roman" w:hAnsi="Times New Roman" w:cs="Times New Roman"/>
          <w:color w:val="333333"/>
          <w:sz w:val="24"/>
          <w:szCs w:val="24"/>
        </w:rPr>
      </w:pPr>
    </w:p>
    <w:p w14:paraId="7313EEDF" w14:textId="77777777" w:rsidR="00250DA5" w:rsidRDefault="00250DA5" w:rsidP="00515718">
      <w:pPr>
        <w:shd w:val="clear" w:color="auto" w:fill="FFFFFF"/>
        <w:spacing w:line="480" w:lineRule="auto"/>
        <w:rPr>
          <w:rFonts w:ascii="Times New Roman" w:eastAsia="Times New Roman" w:hAnsi="Times New Roman" w:cs="Times New Roman"/>
          <w:color w:val="333333"/>
          <w:sz w:val="24"/>
          <w:szCs w:val="24"/>
        </w:rPr>
      </w:pPr>
    </w:p>
    <w:p w14:paraId="5EBFE76E" w14:textId="77777777" w:rsidR="00250DA5" w:rsidRDefault="00250DA5" w:rsidP="00515718">
      <w:pPr>
        <w:shd w:val="clear" w:color="auto" w:fill="FFFFFF"/>
        <w:spacing w:line="480" w:lineRule="auto"/>
        <w:rPr>
          <w:rFonts w:ascii="Times New Roman" w:eastAsia="Times New Roman" w:hAnsi="Times New Roman" w:cs="Times New Roman"/>
          <w:color w:val="333333"/>
          <w:sz w:val="24"/>
          <w:szCs w:val="24"/>
        </w:rPr>
      </w:pPr>
    </w:p>
    <w:p w14:paraId="031E6212" w14:textId="77777777" w:rsidR="00250DA5" w:rsidRDefault="00250DA5" w:rsidP="00515718">
      <w:pPr>
        <w:shd w:val="clear" w:color="auto" w:fill="FFFFFF"/>
        <w:spacing w:line="480" w:lineRule="auto"/>
        <w:rPr>
          <w:rFonts w:ascii="Times New Roman" w:eastAsia="Times New Roman" w:hAnsi="Times New Roman" w:cs="Times New Roman"/>
          <w:color w:val="333333"/>
          <w:sz w:val="24"/>
          <w:szCs w:val="24"/>
        </w:rPr>
      </w:pPr>
    </w:p>
    <w:p w14:paraId="3FA510B9" w14:textId="77777777" w:rsidR="00250DA5" w:rsidRDefault="00250DA5" w:rsidP="00515718">
      <w:pPr>
        <w:shd w:val="clear" w:color="auto" w:fill="FFFFFF"/>
        <w:spacing w:line="480" w:lineRule="auto"/>
        <w:rPr>
          <w:rFonts w:ascii="Times New Roman" w:eastAsia="Times New Roman" w:hAnsi="Times New Roman" w:cs="Times New Roman"/>
          <w:color w:val="333333"/>
          <w:sz w:val="24"/>
          <w:szCs w:val="24"/>
        </w:rPr>
      </w:pPr>
    </w:p>
    <w:p w14:paraId="3A7F6E4A" w14:textId="77777777" w:rsidR="00250DA5" w:rsidRDefault="00250DA5" w:rsidP="00515718">
      <w:pPr>
        <w:shd w:val="clear" w:color="auto" w:fill="FFFFFF"/>
        <w:spacing w:line="480" w:lineRule="auto"/>
        <w:rPr>
          <w:rFonts w:ascii="Times New Roman" w:eastAsia="Times New Roman" w:hAnsi="Times New Roman" w:cs="Times New Roman"/>
          <w:color w:val="333333"/>
          <w:sz w:val="24"/>
          <w:szCs w:val="24"/>
        </w:rPr>
      </w:pPr>
    </w:p>
    <w:p w14:paraId="45B6D8A3" w14:textId="4EFCF15C" w:rsidR="00250DA5" w:rsidRPr="00250DA5" w:rsidRDefault="00250DA5" w:rsidP="00250DA5">
      <w:pPr>
        <w:pStyle w:val="Heading1"/>
        <w:spacing w:line="480" w:lineRule="auto"/>
        <w:jc w:val="center"/>
        <w:rPr>
          <w:rFonts w:ascii="Times New Roman" w:eastAsia="Times New Roman" w:hAnsi="Times New Roman" w:cs="Times New Roman"/>
          <w:color w:val="auto"/>
          <w:sz w:val="24"/>
          <w:szCs w:val="24"/>
          <w:u w:val="single"/>
        </w:rPr>
      </w:pPr>
      <w:r w:rsidRPr="00250DA5">
        <w:rPr>
          <w:rFonts w:ascii="Times New Roman" w:eastAsia="Times New Roman" w:hAnsi="Times New Roman" w:cs="Times New Roman"/>
          <w:color w:val="auto"/>
          <w:sz w:val="24"/>
          <w:szCs w:val="24"/>
        </w:rPr>
        <w:lastRenderedPageBreak/>
        <w:t>Appendix</w:t>
      </w:r>
      <w:r>
        <w:rPr>
          <w:rFonts w:ascii="Times New Roman" w:eastAsia="Times New Roman" w:hAnsi="Times New Roman" w:cs="Times New Roman"/>
          <w:color w:val="auto"/>
          <w:sz w:val="24"/>
          <w:szCs w:val="24"/>
        </w:rPr>
        <w:t xml:space="preserve"> D</w:t>
      </w:r>
    </w:p>
    <w:tbl>
      <w:tblPr>
        <w:tblW w:w="9504" w:type="dxa"/>
        <w:tblLayout w:type="fixed"/>
        <w:tblLook w:val="04A0" w:firstRow="1" w:lastRow="0" w:firstColumn="1" w:lastColumn="0" w:noHBand="0" w:noVBand="1"/>
      </w:tblPr>
      <w:tblGrid>
        <w:gridCol w:w="2303"/>
        <w:gridCol w:w="1440"/>
        <w:gridCol w:w="1440"/>
        <w:gridCol w:w="1440"/>
        <w:gridCol w:w="1440"/>
        <w:gridCol w:w="1441"/>
      </w:tblGrid>
      <w:tr w:rsidR="00501C83" w:rsidRPr="003A0A70" w14:paraId="7055CDDA" w14:textId="77777777" w:rsidTr="00501C83">
        <w:trPr>
          <w:trHeight w:val="390"/>
        </w:trPr>
        <w:tc>
          <w:tcPr>
            <w:tcW w:w="2303" w:type="dxa"/>
            <w:tcBorders>
              <w:top w:val="nil"/>
              <w:left w:val="nil"/>
              <w:bottom w:val="nil"/>
              <w:right w:val="nil"/>
            </w:tcBorders>
            <w:shd w:val="clear" w:color="000000" w:fill="B8CCE4"/>
            <w:noWrap/>
            <w:vAlign w:val="bottom"/>
            <w:hideMark/>
          </w:tcPr>
          <w:p w14:paraId="2D2852BB" w14:textId="77777777" w:rsidR="00C0088A" w:rsidRPr="003A0A70" w:rsidRDefault="00C0088A" w:rsidP="00C0088A">
            <w:pPr>
              <w:spacing w:after="0" w:line="240" w:lineRule="auto"/>
              <w:rPr>
                <w:rFonts w:ascii="Times New Roman" w:eastAsia="Times New Roman" w:hAnsi="Times New Roman" w:cs="Times New Roman"/>
                <w:b/>
                <w:bCs/>
                <w:color w:val="1F497D"/>
                <w:sz w:val="24"/>
                <w:szCs w:val="24"/>
              </w:rPr>
            </w:pPr>
            <w:r w:rsidRPr="003A0A70">
              <w:rPr>
                <w:rFonts w:ascii="Times New Roman" w:eastAsia="Times New Roman" w:hAnsi="Times New Roman" w:cs="Times New Roman"/>
                <w:b/>
                <w:bCs/>
                <w:color w:val="1F497D"/>
                <w:sz w:val="24"/>
                <w:szCs w:val="24"/>
              </w:rPr>
              <w:t>Appendix D</w:t>
            </w:r>
          </w:p>
        </w:tc>
        <w:tc>
          <w:tcPr>
            <w:tcW w:w="7200" w:type="dxa"/>
            <w:gridSpan w:val="5"/>
            <w:tcBorders>
              <w:top w:val="nil"/>
              <w:left w:val="nil"/>
              <w:bottom w:val="nil"/>
              <w:right w:val="nil"/>
            </w:tcBorders>
            <w:shd w:val="clear" w:color="000000" w:fill="B8CCE4"/>
            <w:noWrap/>
            <w:vAlign w:val="bottom"/>
            <w:hideMark/>
          </w:tcPr>
          <w:p w14:paraId="7EFAA340" w14:textId="2DCD8DF1" w:rsidR="00C0088A" w:rsidRPr="003A0A70" w:rsidRDefault="00C0088A" w:rsidP="00C0088A">
            <w:pPr>
              <w:spacing w:after="0" w:line="240" w:lineRule="auto"/>
              <w:jc w:val="center"/>
              <w:rPr>
                <w:rFonts w:ascii="Times New Roman" w:eastAsia="Times New Roman" w:hAnsi="Times New Roman" w:cs="Times New Roman"/>
                <w:b/>
                <w:bCs/>
                <w:color w:val="1F497D"/>
                <w:sz w:val="24"/>
                <w:szCs w:val="24"/>
              </w:rPr>
            </w:pPr>
            <w:r w:rsidRPr="003A0A70">
              <w:rPr>
                <w:rFonts w:ascii="Times New Roman" w:eastAsia="Times New Roman" w:hAnsi="Times New Roman" w:cs="Times New Roman"/>
                <w:b/>
                <w:bCs/>
                <w:color w:val="1F497D"/>
                <w:sz w:val="24"/>
                <w:szCs w:val="24"/>
              </w:rPr>
              <w:t>Electronic Arts - Common-Size Income Statement</w:t>
            </w:r>
          </w:p>
        </w:tc>
      </w:tr>
      <w:tr w:rsidR="00501C83" w:rsidRPr="003A0A70" w14:paraId="32F3FA07" w14:textId="77777777" w:rsidTr="00501C83">
        <w:trPr>
          <w:trHeight w:val="255"/>
        </w:trPr>
        <w:tc>
          <w:tcPr>
            <w:tcW w:w="2303" w:type="dxa"/>
            <w:tcBorders>
              <w:top w:val="single" w:sz="12" w:space="0" w:color="4F81BD"/>
              <w:left w:val="nil"/>
              <w:bottom w:val="single" w:sz="12" w:space="0" w:color="FFFFFF"/>
              <w:right w:val="single" w:sz="4" w:space="0" w:color="FFFFFF"/>
            </w:tcBorders>
            <w:shd w:val="clear" w:color="4F81BD" w:fill="4F81BD"/>
            <w:noWrap/>
            <w:hideMark/>
          </w:tcPr>
          <w:p w14:paraId="26C70AED" w14:textId="77777777" w:rsidR="00C0088A" w:rsidRPr="003A0A70" w:rsidRDefault="00C0088A" w:rsidP="00C0088A">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 xml:space="preserve"> </w:t>
            </w:r>
          </w:p>
        </w:tc>
        <w:tc>
          <w:tcPr>
            <w:tcW w:w="1440" w:type="dxa"/>
            <w:tcBorders>
              <w:top w:val="single" w:sz="12" w:space="0" w:color="4F81BD"/>
              <w:left w:val="single" w:sz="4" w:space="0" w:color="FFFFFF"/>
              <w:bottom w:val="single" w:sz="12" w:space="0" w:color="FFFFFF"/>
              <w:right w:val="single" w:sz="4" w:space="0" w:color="FFFFFF"/>
            </w:tcBorders>
            <w:shd w:val="clear" w:color="4F81BD" w:fill="4F81BD"/>
            <w:noWrap/>
            <w:vAlign w:val="bottom"/>
            <w:hideMark/>
          </w:tcPr>
          <w:p w14:paraId="3CFADAC6" w14:textId="77777777" w:rsidR="00C0088A" w:rsidRPr="003A0A70" w:rsidRDefault="00C0088A" w:rsidP="00C0088A">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2019</w:t>
            </w:r>
          </w:p>
        </w:tc>
        <w:tc>
          <w:tcPr>
            <w:tcW w:w="1440" w:type="dxa"/>
            <w:tcBorders>
              <w:top w:val="single" w:sz="12" w:space="0" w:color="4F81BD"/>
              <w:left w:val="single" w:sz="4" w:space="0" w:color="FFFFFF"/>
              <w:bottom w:val="single" w:sz="12" w:space="0" w:color="FFFFFF"/>
              <w:right w:val="single" w:sz="4" w:space="0" w:color="FFFFFF"/>
            </w:tcBorders>
            <w:shd w:val="clear" w:color="4F81BD" w:fill="4F81BD"/>
            <w:noWrap/>
            <w:vAlign w:val="bottom"/>
            <w:hideMark/>
          </w:tcPr>
          <w:p w14:paraId="7EA7AC00" w14:textId="77777777" w:rsidR="00C0088A" w:rsidRPr="003A0A70" w:rsidRDefault="00C0088A" w:rsidP="00C0088A">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2018</w:t>
            </w:r>
          </w:p>
        </w:tc>
        <w:tc>
          <w:tcPr>
            <w:tcW w:w="1440" w:type="dxa"/>
            <w:tcBorders>
              <w:top w:val="single" w:sz="12" w:space="0" w:color="4F81BD"/>
              <w:left w:val="single" w:sz="4" w:space="0" w:color="FFFFFF"/>
              <w:bottom w:val="single" w:sz="12" w:space="0" w:color="FFFFFF"/>
              <w:right w:val="single" w:sz="4" w:space="0" w:color="FFFFFF"/>
            </w:tcBorders>
            <w:shd w:val="clear" w:color="4F81BD" w:fill="4F81BD"/>
            <w:noWrap/>
            <w:vAlign w:val="bottom"/>
            <w:hideMark/>
          </w:tcPr>
          <w:p w14:paraId="017E868C" w14:textId="77777777" w:rsidR="00C0088A" w:rsidRPr="003A0A70" w:rsidRDefault="00C0088A" w:rsidP="00C0088A">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2017</w:t>
            </w:r>
          </w:p>
        </w:tc>
        <w:tc>
          <w:tcPr>
            <w:tcW w:w="1440" w:type="dxa"/>
            <w:tcBorders>
              <w:top w:val="single" w:sz="12" w:space="0" w:color="4F81BD"/>
              <w:left w:val="single" w:sz="4" w:space="0" w:color="FFFFFF"/>
              <w:bottom w:val="single" w:sz="12" w:space="0" w:color="FFFFFF"/>
              <w:right w:val="single" w:sz="4" w:space="0" w:color="FFFFFF"/>
            </w:tcBorders>
            <w:shd w:val="clear" w:color="4F81BD" w:fill="4F81BD"/>
            <w:noWrap/>
            <w:vAlign w:val="bottom"/>
            <w:hideMark/>
          </w:tcPr>
          <w:p w14:paraId="6DFC56CA" w14:textId="77777777" w:rsidR="00C0088A" w:rsidRPr="003A0A70" w:rsidRDefault="00C0088A" w:rsidP="00C0088A">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2016</w:t>
            </w:r>
          </w:p>
        </w:tc>
        <w:tc>
          <w:tcPr>
            <w:tcW w:w="1441" w:type="dxa"/>
            <w:tcBorders>
              <w:top w:val="single" w:sz="12" w:space="0" w:color="4F81BD"/>
              <w:left w:val="single" w:sz="4" w:space="0" w:color="FFFFFF"/>
              <w:bottom w:val="single" w:sz="12" w:space="0" w:color="FFFFFF"/>
              <w:right w:val="nil"/>
            </w:tcBorders>
            <w:shd w:val="clear" w:color="4F81BD" w:fill="4F81BD"/>
            <w:noWrap/>
            <w:vAlign w:val="bottom"/>
            <w:hideMark/>
          </w:tcPr>
          <w:p w14:paraId="049A6A7D" w14:textId="77777777" w:rsidR="00C0088A" w:rsidRPr="003A0A70" w:rsidRDefault="00C0088A" w:rsidP="00C0088A">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2015</w:t>
            </w:r>
          </w:p>
        </w:tc>
      </w:tr>
      <w:tr w:rsidR="00501C83" w:rsidRPr="003A0A70" w14:paraId="614165A5"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54CBB65C"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Product revenue</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1FBCC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32.18%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9980C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50.21%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EDF00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54.49%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1E8DB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56.80%</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0B30914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56.88%</w:t>
            </w:r>
          </w:p>
        </w:tc>
      </w:tr>
      <w:tr w:rsidR="00501C83" w:rsidRPr="003A0A70" w14:paraId="2A8AD3DC"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24E54E86"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Service &amp; other revenue</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022D8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67.82%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98FBB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49.79%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FC8DD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45.51%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DB4BF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43.20%</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2FFD7C0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43.12%</w:t>
            </w:r>
          </w:p>
        </w:tc>
      </w:tr>
      <w:tr w:rsidR="00501C83" w:rsidRPr="003A0A70" w14:paraId="30104380"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B8CCE4" w:fill="B8CCE4"/>
            <w:noWrap/>
            <w:vAlign w:val="bottom"/>
            <w:hideMark/>
          </w:tcPr>
          <w:p w14:paraId="2AEE59D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net revenue</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F877E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1D802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C98BA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FFE78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0761052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r>
      <w:tr w:rsidR="00501C83" w:rsidRPr="003A0A70" w14:paraId="387FD8F7"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7AFA4928"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Cost of revenue: product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D5848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10.44%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4B33B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15.96%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0B141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18.43%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0ED42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21.34%</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37EDCA8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22.77%</w:t>
            </w:r>
          </w:p>
        </w:tc>
      </w:tr>
      <w:tr w:rsidR="00501C83" w:rsidRPr="003A0A70" w14:paraId="443EC028"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1BB3447D"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Cost of revenue: service &amp; other</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57313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16.26%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07376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8.83%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E6893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8.36%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2B18C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9.46%</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7561CE9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8.88%</w:t>
            </w:r>
          </w:p>
        </w:tc>
      </w:tr>
      <w:tr w:rsidR="00501C83" w:rsidRPr="003A0A70" w14:paraId="351439A7"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365EA7F5"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cost of revenue</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5E2B4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26.71%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AF5BB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24.80%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5E97A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26.79%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EBEA0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30.80%</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2D7D257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31.65%</w:t>
            </w:r>
          </w:p>
        </w:tc>
      </w:tr>
      <w:tr w:rsidR="00501C83" w:rsidRPr="003A0A70" w14:paraId="69F64A33"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B8CCE4" w:fill="B8CCE4"/>
            <w:noWrap/>
            <w:vAlign w:val="bottom"/>
            <w:hideMark/>
          </w:tcPr>
          <w:p w14:paraId="63F47E34"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Gross profit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9A761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73.29%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B245F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75.20%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32481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73.21%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04081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69.20%</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30B6A57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68.35%</w:t>
            </w:r>
          </w:p>
        </w:tc>
      </w:tr>
      <w:tr w:rsidR="00501C83" w:rsidRPr="003A0A70" w14:paraId="0D64C302"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2889786C"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Research &amp; development expense</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DD7E4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28.95%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43639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25.63%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501E8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24.87%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AFDAE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25.23%</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6D6D18F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24.23%</w:t>
            </w:r>
          </w:p>
        </w:tc>
      </w:tr>
      <w:tr w:rsidR="00501C83" w:rsidRPr="003A0A70" w14:paraId="700804F1"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6D99EB95"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Marketing &amp; sales expense</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EF946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14.18%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1C6B1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12.45%</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46068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13.89%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74944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14.15%</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3B6A172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14.33%</w:t>
            </w:r>
          </w:p>
        </w:tc>
      </w:tr>
      <w:tr w:rsidR="00501C83" w:rsidRPr="003A0A70" w14:paraId="6FB9F52C"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7EB28B75"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General &amp; administrative expense</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9CF5B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9.29%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8B9B8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9.11%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DAD51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9.06%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2E038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9.24%</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264993D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8.55%</w:t>
            </w:r>
          </w:p>
        </w:tc>
      </w:tr>
      <w:tr w:rsidR="00501C83" w:rsidRPr="003A0A70" w14:paraId="1EFFB9C4"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4BFF972A"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Acquisition-related contingent consideration</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56FB9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FF188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5C441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ABF7E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1952F7F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-0.07%</w:t>
            </w:r>
          </w:p>
        </w:tc>
      </w:tr>
      <w:tr w:rsidR="00501C83" w:rsidRPr="003A0A70" w14:paraId="30A9D01A"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DCE6F1" w:fill="DCE6F1"/>
            <w:noWrap/>
            <w:vAlign w:val="bottom"/>
            <w:hideMark/>
          </w:tcPr>
          <w:p w14:paraId="5386516B"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Amortization of intangibles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EE5F1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C2104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F74C5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3933D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0.16%</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7787D2A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0.31%</w:t>
            </w:r>
          </w:p>
        </w:tc>
      </w:tr>
      <w:tr w:rsidR="00501C83" w:rsidRPr="003A0A70" w14:paraId="73E32C10"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7DA13129"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operating expenses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E7E92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53.17%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E96A2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47.36%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99DE8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47.95%</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FA361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48.77%</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5DFAA6F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47.35%</w:t>
            </w:r>
          </w:p>
        </w:tc>
      </w:tr>
      <w:tr w:rsidR="00501C83" w:rsidRPr="003A0A70" w14:paraId="1FED41F9"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DCE6F1" w:fill="DCE6F1"/>
            <w:noWrap/>
            <w:vAlign w:val="bottom"/>
            <w:hideMark/>
          </w:tcPr>
          <w:p w14:paraId="6D1E4AB6"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Operating income (loss)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250D5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20.12%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7DD21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27.84%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F1B67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25.26%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F2B61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20.43%</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6440AB0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21.00%</w:t>
            </w:r>
          </w:p>
        </w:tc>
      </w:tr>
      <w:tr w:rsidR="00501C83" w:rsidRPr="003A0A70" w14:paraId="2611EC3C"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6C08A38E"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Loss on conversion of convertible notes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775DF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5CD5C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81EF3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C3B6A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-0.23%</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3241EC4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501C83" w:rsidRPr="003A0A70" w14:paraId="79F72BA1"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18A0731F"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Amortization of debt discount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6D1E0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254A4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A07DC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064DA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0.39%</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14DCE98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0.49%</w:t>
            </w:r>
          </w:p>
        </w:tc>
      </w:tr>
      <w:tr w:rsidR="00501C83" w:rsidRPr="003A0A70" w14:paraId="2D1265E3"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1A51AA4D"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Amortization of debt issuance costs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FF0FE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1313F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F3051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17FD7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0.07%</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446335C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0.07%</w:t>
            </w:r>
          </w:p>
        </w:tc>
      </w:tr>
      <w:tr w:rsidR="00501C83" w:rsidRPr="003A0A70" w14:paraId="2924E0FF"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35DB8C75"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Coupon interest expense</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A839E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C2EF4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62106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1CB75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0.16%</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6CB2F9C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0.11%</w:t>
            </w:r>
          </w:p>
        </w:tc>
      </w:tr>
      <w:tr w:rsidR="00501C83" w:rsidRPr="003A0A70" w14:paraId="30DFED2D"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06D855CE"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Other interest expense</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60780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E9AD9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B535C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DDB8F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650CA34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r>
      <w:tr w:rsidR="00501C83" w:rsidRPr="003A0A70" w14:paraId="721CDB64"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199A94CB"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Interest expense</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4AE11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0.91%</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AB570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3574B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0.97%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CA6E0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0.64%</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1AEC30E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0.69%</w:t>
            </w:r>
          </w:p>
        </w:tc>
      </w:tr>
      <w:tr w:rsidR="00501C83" w:rsidRPr="003A0A70" w14:paraId="7C1FDCE9"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5819847C"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Interest income</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FC7E4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1.78%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8680C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0.97%</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082C1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902C3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0.34%</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7EFE481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0.22%</w:t>
            </w:r>
          </w:p>
        </w:tc>
      </w:tr>
      <w:tr w:rsidR="00501C83" w:rsidRPr="003A0A70" w14:paraId="79DE51E8"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6D6AD8F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Net gain (loss) on foreign currency transactions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1190F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F2E72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9A054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C94D4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-0.32%</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34A6B0E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-1.37%</w:t>
            </w:r>
          </w:p>
        </w:tc>
      </w:tr>
      <w:tr w:rsidR="00501C83" w:rsidRPr="003A0A70" w14:paraId="2DDEB1ED"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60F91B0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lastRenderedPageBreak/>
              <w:t>Net gain (loss) on foreign currency forward contracts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8DDA9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07BBE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C0801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0.95%</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FE866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0.34%</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7178443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1.31%</w:t>
            </w:r>
          </w:p>
        </w:tc>
      </w:tr>
      <w:tr w:rsidR="00501C83" w:rsidRPr="003A0A70" w14:paraId="013F7AAB"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535C9BF3"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Other income (expense), net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D7A4B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D7392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B969B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1A2AD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26EA2FF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r>
      <w:tr w:rsidR="00501C83" w:rsidRPr="003A0A70" w14:paraId="69F26F7C"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7B51945C"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Interest &amp; other income (expense), net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B58E0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156FB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6A9D0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1743E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-0.48%</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5494C26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-0.51%</w:t>
            </w:r>
          </w:p>
        </w:tc>
      </w:tr>
      <w:tr w:rsidR="00501C83" w:rsidRPr="003A0A70" w14:paraId="59A65FCA" w14:textId="77777777" w:rsidTr="00501C83">
        <w:trPr>
          <w:trHeight w:val="765"/>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14ABDD3D"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Income (loss) before provision for (benefit from) income taxes - domestic</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5323E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3.43%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96593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8.54%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E8B70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7.88%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C2FFB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3.03%</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47D88D0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5.14%</w:t>
            </w:r>
          </w:p>
        </w:tc>
      </w:tr>
      <w:tr w:rsidR="00501C83" w:rsidRPr="003A0A70" w14:paraId="720F1A45" w14:textId="77777777" w:rsidTr="00501C83">
        <w:trPr>
          <w:trHeight w:val="765"/>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5EB5AEF5"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Income (loss) before provision for (benefit from) income taxes - foreign</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05E06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18.36%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7E520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19.59%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1E314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17.09%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5492D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16.92%</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2C91D7C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15.35%</w:t>
            </w:r>
          </w:p>
        </w:tc>
      </w:tr>
      <w:tr w:rsidR="00501C83" w:rsidRPr="003A0A70" w14:paraId="2F45CACF" w14:textId="77777777" w:rsidTr="00501C83">
        <w:trPr>
          <w:trHeight w:val="765"/>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486FBF6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Income (loss) before provision for (benefit from) income taxes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0DBEE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21.80%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60CB5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28.14%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66211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24.97%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0FBD8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19.95%</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0BE6C5F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20.49%</w:t>
            </w:r>
          </w:p>
        </w:tc>
      </w:tr>
      <w:tr w:rsidR="00501C83" w:rsidRPr="003A0A70" w14:paraId="4321D1B9"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23822983"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Current federal income tax expense (benefit)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7F56E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0.59%</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361E0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2BF12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1.78%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CE43F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1.57%</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561372A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0.22%</w:t>
            </w:r>
          </w:p>
        </w:tc>
      </w:tr>
      <w:tr w:rsidR="00501C83" w:rsidRPr="003A0A70" w14:paraId="5D09881A"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03777F60"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Current state income tax expense (benefit)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5E3F3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AB394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C14A0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411A2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0.11%</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5D95F5F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501C83" w:rsidRPr="003A0A70" w14:paraId="5C635C44"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51B72DF4"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Current foreign income tax expense (benefit)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6AC1A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0.85%</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951A7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24EA3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1.05%</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3A5FE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0.82%</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497D063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0.47%</w:t>
            </w:r>
          </w:p>
        </w:tc>
      </w:tr>
      <w:tr w:rsidR="00501C83" w:rsidRPr="003A0A70" w14:paraId="7CD93C51"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6AD78E1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current income tax expense (benefit)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721B8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9820A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3.94%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2A83F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2.89%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162D0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2.50%</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2CCAD85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0.69%</w:t>
            </w:r>
          </w:p>
        </w:tc>
      </w:tr>
      <w:tr w:rsidR="00501C83" w:rsidRPr="003A0A70" w14:paraId="7339F03C"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34EBE5AA"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federal income tax expense (benefit)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D6768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8D4B9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3.83%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98DA8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05747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-8.55%</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5051F53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0.38%</w:t>
            </w:r>
          </w:p>
        </w:tc>
      </w:tr>
      <w:tr w:rsidR="00501C83" w:rsidRPr="003A0A70" w14:paraId="38B94976"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10C22E27"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state income tax expense (benefit)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71477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D05E8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0.17%</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C72BE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EBDBA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-0.32%</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5655E82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501C83" w:rsidRPr="003A0A70" w14:paraId="4EC3E69A"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37440D68"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foreign income tax expense (benefit)</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C32AF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53496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34A75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03F4F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25DA9CF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r>
      <w:tr w:rsidR="00501C83" w:rsidRPr="003A0A70" w14:paraId="675558A1"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4C7270FF"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deferred income tax expense (benefit)</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65B25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-0.32%</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76927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3.94%</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DC915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2.13%</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C017A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-8.85%</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2858879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0.42%</w:t>
            </w:r>
          </w:p>
        </w:tc>
      </w:tr>
      <w:tr w:rsidR="00501C83" w:rsidRPr="003A0A70" w14:paraId="4642FDFA"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503616F7"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Provision for (benefit from) income taxes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1BF2F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1.21%</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44195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7.88%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8DCA6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5.02%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9A54B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-6.35%</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11B0CA0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1.11%</w:t>
            </w:r>
          </w:p>
        </w:tc>
      </w:tr>
      <w:tr w:rsidR="00501C83" w:rsidRPr="003A0A70" w14:paraId="1BFD9ACE" w14:textId="77777777" w:rsidTr="00501C83">
        <w:trPr>
          <w:trHeight w:val="255"/>
        </w:trPr>
        <w:tc>
          <w:tcPr>
            <w:tcW w:w="2303" w:type="dxa"/>
            <w:tcBorders>
              <w:top w:val="single" w:sz="4" w:space="0" w:color="FFFFFF"/>
              <w:left w:val="nil"/>
              <w:bottom w:val="single" w:sz="4" w:space="0" w:color="FFFFFF"/>
              <w:right w:val="single" w:sz="4" w:space="0" w:color="FFFFFF"/>
            </w:tcBorders>
            <w:shd w:val="clear" w:color="DCE6F1" w:fill="DCE6F1"/>
            <w:noWrap/>
            <w:vAlign w:val="bottom"/>
            <w:hideMark/>
          </w:tcPr>
          <w:p w14:paraId="131649B2"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Net income (loss)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15FE6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20.59%</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CD1C2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20.25%</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BE6F4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19.96%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C069A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26.30%</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7AA1607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19.38%</w:t>
            </w:r>
          </w:p>
        </w:tc>
      </w:tr>
      <w:tr w:rsidR="00501C83" w:rsidRPr="003A0A70" w14:paraId="283DA964"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6B289CE3"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lastRenderedPageBreak/>
              <w:t>Weighted average shares outstanding - basic</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17985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6.12%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3B2BF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5.98%</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12D36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6.25%</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4548F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7.05%</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5B0D4C8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6.89%</w:t>
            </w:r>
          </w:p>
        </w:tc>
      </w:tr>
      <w:tr w:rsidR="00501C83" w:rsidRPr="003A0A70" w14:paraId="017BA161"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60982CB4"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Weighted average shares outstanding - diluted</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F7EB4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6.18%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08EBB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6.06%</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48844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6.48%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088B9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7.51%</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22DFDF0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7.20%</w:t>
            </w:r>
          </w:p>
        </w:tc>
      </w:tr>
      <w:tr w:rsidR="00501C83" w:rsidRPr="003A0A70" w14:paraId="5008FC2B"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7EEAC28D"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Year end shares outstanding</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36A3E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6.02%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3A533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5.95%</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96782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6.36%</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8D86C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6.84%</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49795D9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6.86%</w:t>
            </w:r>
          </w:p>
        </w:tc>
      </w:tr>
      <w:tr w:rsidR="00501C83" w:rsidRPr="003A0A70" w14:paraId="3342B1B1"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03BED6F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Net income (loss) per share - basic</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487C7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DAF14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676F7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2CCC7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68AC40E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501C83" w:rsidRPr="003A0A70" w14:paraId="720AD6F7"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20A7A0A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Net income (loss) per share - diluted</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CA055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3BFE6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9B6B7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75A67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538009F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501C83" w:rsidRPr="003A0A70" w14:paraId="3F22C4E1"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DCE6F1" w:fill="DCE6F1"/>
            <w:vAlign w:val="bottom"/>
            <w:hideMark/>
          </w:tcPr>
          <w:p w14:paraId="24E5AF34"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Number of full time employees</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7F1FE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F7BBB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E9D47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0.18%</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88C9C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0.19%</w:t>
            </w:r>
          </w:p>
        </w:tc>
        <w:tc>
          <w:tcPr>
            <w:tcW w:w="1441" w:type="dxa"/>
            <w:tcBorders>
              <w:top w:val="single" w:sz="4" w:space="0" w:color="FFFFFF"/>
              <w:left w:val="single" w:sz="4" w:space="0" w:color="FFFFFF"/>
              <w:bottom w:val="single" w:sz="4" w:space="0" w:color="FFFFFF"/>
              <w:right w:val="nil"/>
            </w:tcBorders>
            <w:shd w:val="clear" w:color="DCE6F1" w:fill="DCE6F1"/>
            <w:noWrap/>
            <w:vAlign w:val="bottom"/>
            <w:hideMark/>
          </w:tcPr>
          <w:p w14:paraId="12B1840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0.19%</w:t>
            </w:r>
          </w:p>
        </w:tc>
      </w:tr>
      <w:tr w:rsidR="00501C83" w:rsidRPr="003A0A70" w14:paraId="05A05864" w14:textId="77777777" w:rsidTr="00501C83">
        <w:trPr>
          <w:trHeight w:val="510"/>
        </w:trPr>
        <w:tc>
          <w:tcPr>
            <w:tcW w:w="2303" w:type="dxa"/>
            <w:tcBorders>
              <w:top w:val="single" w:sz="4" w:space="0" w:color="FFFFFF"/>
              <w:left w:val="nil"/>
              <w:bottom w:val="single" w:sz="4" w:space="0" w:color="FFFFFF"/>
              <w:right w:val="single" w:sz="4" w:space="0" w:color="FFFFFF"/>
            </w:tcBorders>
            <w:shd w:val="clear" w:color="B8CCE4" w:fill="B8CCE4"/>
            <w:vAlign w:val="bottom"/>
            <w:hideMark/>
          </w:tcPr>
          <w:p w14:paraId="33E7B864"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Number of common stockholders</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99A73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B0255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9493C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F7179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0.03%</w:t>
            </w:r>
          </w:p>
        </w:tc>
        <w:tc>
          <w:tcPr>
            <w:tcW w:w="1441" w:type="dxa"/>
            <w:tcBorders>
              <w:top w:val="single" w:sz="4" w:space="0" w:color="FFFFFF"/>
              <w:left w:val="single" w:sz="4" w:space="0" w:color="FFFFFF"/>
              <w:bottom w:val="single" w:sz="4" w:space="0" w:color="FFFFFF"/>
              <w:right w:val="nil"/>
            </w:tcBorders>
            <w:shd w:val="clear" w:color="B8CCE4" w:fill="B8CCE4"/>
            <w:noWrap/>
            <w:vAlign w:val="bottom"/>
            <w:hideMark/>
          </w:tcPr>
          <w:p w14:paraId="38508F9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0.03%</w:t>
            </w:r>
          </w:p>
        </w:tc>
      </w:tr>
      <w:tr w:rsidR="00501C83" w:rsidRPr="003A0A70" w14:paraId="71A1A4D1" w14:textId="77777777" w:rsidTr="00501C83">
        <w:trPr>
          <w:trHeight w:val="510"/>
        </w:trPr>
        <w:tc>
          <w:tcPr>
            <w:tcW w:w="2303" w:type="dxa"/>
            <w:tcBorders>
              <w:top w:val="single" w:sz="4" w:space="0" w:color="FFFFFF"/>
              <w:left w:val="nil"/>
              <w:bottom w:val="nil"/>
              <w:right w:val="single" w:sz="4" w:space="0" w:color="FFFFFF"/>
            </w:tcBorders>
            <w:shd w:val="clear" w:color="DCE6F1" w:fill="DCE6F1"/>
            <w:vAlign w:val="bottom"/>
            <w:hideMark/>
          </w:tcPr>
          <w:p w14:paraId="736B95F8"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Foreign currency translation adjustments</w:t>
            </w:r>
          </w:p>
        </w:tc>
        <w:tc>
          <w:tcPr>
            <w:tcW w:w="1440" w:type="dxa"/>
            <w:tcBorders>
              <w:top w:val="single" w:sz="4" w:space="0" w:color="FFFFFF"/>
              <w:left w:val="single" w:sz="4" w:space="0" w:color="FFFFFF"/>
              <w:bottom w:val="nil"/>
              <w:right w:val="single" w:sz="4" w:space="0" w:color="FFFFFF"/>
            </w:tcBorders>
            <w:shd w:val="clear" w:color="DCE6F1" w:fill="DCE6F1"/>
            <w:noWrap/>
            <w:vAlign w:val="bottom"/>
            <w:hideMark/>
          </w:tcPr>
          <w:p w14:paraId="01653A4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-0.42%</w:t>
            </w:r>
          </w:p>
        </w:tc>
        <w:tc>
          <w:tcPr>
            <w:tcW w:w="1440" w:type="dxa"/>
            <w:tcBorders>
              <w:top w:val="single" w:sz="4" w:space="0" w:color="FFFFFF"/>
              <w:left w:val="single" w:sz="4" w:space="0" w:color="FFFFFF"/>
              <w:bottom w:val="nil"/>
              <w:right w:val="single" w:sz="4" w:space="0" w:color="FFFFFF"/>
            </w:tcBorders>
            <w:shd w:val="clear" w:color="DCE6F1" w:fill="DCE6F1"/>
            <w:noWrap/>
            <w:vAlign w:val="bottom"/>
            <w:hideMark/>
          </w:tcPr>
          <w:p w14:paraId="2379F1A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0.35%</w:t>
            </w:r>
          </w:p>
        </w:tc>
        <w:tc>
          <w:tcPr>
            <w:tcW w:w="1440" w:type="dxa"/>
            <w:tcBorders>
              <w:top w:val="single" w:sz="4" w:space="0" w:color="FFFFFF"/>
              <w:left w:val="single" w:sz="4" w:space="0" w:color="FFFFFF"/>
              <w:bottom w:val="nil"/>
              <w:right w:val="single" w:sz="4" w:space="0" w:color="FFFFFF"/>
            </w:tcBorders>
            <w:shd w:val="clear" w:color="DCE6F1" w:fill="DCE6F1"/>
            <w:noWrap/>
            <w:vAlign w:val="bottom"/>
            <w:hideMark/>
          </w:tcPr>
          <w:p w14:paraId="1837E25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-0.35%</w:t>
            </w:r>
          </w:p>
        </w:tc>
        <w:tc>
          <w:tcPr>
            <w:tcW w:w="1440" w:type="dxa"/>
            <w:tcBorders>
              <w:top w:val="single" w:sz="4" w:space="0" w:color="FFFFFF"/>
              <w:left w:val="single" w:sz="4" w:space="0" w:color="FFFFFF"/>
              <w:bottom w:val="nil"/>
              <w:right w:val="single" w:sz="4" w:space="0" w:color="FFFFFF"/>
            </w:tcBorders>
            <w:shd w:val="clear" w:color="DCE6F1" w:fill="DCE6F1"/>
            <w:noWrap/>
            <w:vAlign w:val="bottom"/>
            <w:hideMark/>
          </w:tcPr>
          <w:p w14:paraId="32F4018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-0.34%</w:t>
            </w:r>
          </w:p>
        </w:tc>
        <w:tc>
          <w:tcPr>
            <w:tcW w:w="1441" w:type="dxa"/>
            <w:tcBorders>
              <w:top w:val="single" w:sz="4" w:space="0" w:color="FFFFFF"/>
              <w:left w:val="single" w:sz="4" w:space="0" w:color="FFFFFF"/>
              <w:bottom w:val="nil"/>
              <w:right w:val="nil"/>
            </w:tcBorders>
            <w:shd w:val="clear" w:color="DCE6F1" w:fill="DCE6F1"/>
            <w:noWrap/>
            <w:vAlign w:val="bottom"/>
            <w:hideMark/>
          </w:tcPr>
          <w:p w14:paraId="55EC9F2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bl>
    <w:p w14:paraId="70A55CCE" w14:textId="77777777" w:rsidR="00C0088A" w:rsidRPr="003A0A70" w:rsidRDefault="00C0088A" w:rsidP="0084121B">
      <w:pPr>
        <w:shd w:val="clear" w:color="auto" w:fill="FFFFFF"/>
        <w:spacing w:line="480" w:lineRule="auto"/>
        <w:ind w:hanging="330"/>
        <w:rPr>
          <w:rFonts w:ascii="Times New Roman" w:eastAsia="Times New Roman" w:hAnsi="Times New Roman" w:cs="Times New Roman"/>
          <w:color w:val="333333"/>
          <w:sz w:val="24"/>
          <w:szCs w:val="24"/>
        </w:rPr>
      </w:pPr>
    </w:p>
    <w:tbl>
      <w:tblPr>
        <w:tblW w:w="9504" w:type="dxa"/>
        <w:tblLayout w:type="fixed"/>
        <w:tblLook w:val="04A0" w:firstRow="1" w:lastRow="0" w:firstColumn="1" w:lastColumn="0" w:noHBand="0" w:noVBand="1"/>
      </w:tblPr>
      <w:tblGrid>
        <w:gridCol w:w="2304"/>
        <w:gridCol w:w="720"/>
        <w:gridCol w:w="1296"/>
        <w:gridCol w:w="1296"/>
        <w:gridCol w:w="1296"/>
        <w:gridCol w:w="1296"/>
        <w:gridCol w:w="1296"/>
      </w:tblGrid>
      <w:tr w:rsidR="00C0088A" w:rsidRPr="003A0A70" w14:paraId="52441E60" w14:textId="77777777" w:rsidTr="00C0088A">
        <w:trPr>
          <w:trHeight w:val="390"/>
        </w:trPr>
        <w:tc>
          <w:tcPr>
            <w:tcW w:w="2304" w:type="dxa"/>
            <w:tcBorders>
              <w:top w:val="nil"/>
              <w:left w:val="nil"/>
              <w:bottom w:val="nil"/>
              <w:right w:val="nil"/>
            </w:tcBorders>
            <w:shd w:val="clear" w:color="000000" w:fill="B8CCE4"/>
            <w:noWrap/>
            <w:vAlign w:val="bottom"/>
            <w:hideMark/>
          </w:tcPr>
          <w:p w14:paraId="59A4D2BC" w14:textId="77777777" w:rsidR="00C0088A" w:rsidRPr="003A0A70" w:rsidRDefault="00C0088A" w:rsidP="00C0088A">
            <w:pPr>
              <w:spacing w:after="0" w:line="240" w:lineRule="auto"/>
              <w:rPr>
                <w:rFonts w:ascii="Times New Roman" w:eastAsia="Times New Roman" w:hAnsi="Times New Roman" w:cs="Times New Roman"/>
                <w:b/>
                <w:bCs/>
                <w:color w:val="1F497D"/>
                <w:sz w:val="24"/>
                <w:szCs w:val="24"/>
              </w:rPr>
            </w:pPr>
            <w:r w:rsidRPr="003A0A70">
              <w:rPr>
                <w:rFonts w:ascii="Times New Roman" w:eastAsia="Times New Roman" w:hAnsi="Times New Roman" w:cs="Times New Roman"/>
                <w:b/>
                <w:bCs/>
                <w:color w:val="1F497D"/>
                <w:sz w:val="24"/>
                <w:szCs w:val="24"/>
              </w:rPr>
              <w:t>Appendix D</w:t>
            </w:r>
          </w:p>
        </w:tc>
        <w:tc>
          <w:tcPr>
            <w:tcW w:w="7200" w:type="dxa"/>
            <w:gridSpan w:val="6"/>
            <w:tcBorders>
              <w:top w:val="nil"/>
              <w:left w:val="nil"/>
              <w:bottom w:val="nil"/>
              <w:right w:val="nil"/>
            </w:tcBorders>
            <w:shd w:val="clear" w:color="000000" w:fill="B8CCE4"/>
            <w:noWrap/>
            <w:vAlign w:val="bottom"/>
            <w:hideMark/>
          </w:tcPr>
          <w:p w14:paraId="233563D8" w14:textId="77777777" w:rsidR="00C0088A" w:rsidRPr="003A0A70" w:rsidRDefault="00C0088A" w:rsidP="00C0088A">
            <w:pPr>
              <w:spacing w:after="0" w:line="240" w:lineRule="auto"/>
              <w:jc w:val="center"/>
              <w:rPr>
                <w:rFonts w:ascii="Times New Roman" w:eastAsia="Times New Roman" w:hAnsi="Times New Roman" w:cs="Times New Roman"/>
                <w:b/>
                <w:bCs/>
                <w:color w:val="1F497D"/>
                <w:sz w:val="24"/>
                <w:szCs w:val="24"/>
              </w:rPr>
            </w:pPr>
            <w:r w:rsidRPr="003A0A70">
              <w:rPr>
                <w:rFonts w:ascii="Times New Roman" w:eastAsia="Times New Roman" w:hAnsi="Times New Roman" w:cs="Times New Roman"/>
                <w:b/>
                <w:bCs/>
                <w:color w:val="1F497D"/>
                <w:sz w:val="24"/>
                <w:szCs w:val="24"/>
              </w:rPr>
              <w:t>Activision Blizzard - Common-Size Income Statement</w:t>
            </w:r>
          </w:p>
        </w:tc>
      </w:tr>
      <w:tr w:rsidR="00C0088A" w:rsidRPr="003A0A70" w14:paraId="1D113128" w14:textId="77777777" w:rsidTr="00C0088A">
        <w:trPr>
          <w:trHeight w:val="255"/>
        </w:trPr>
        <w:tc>
          <w:tcPr>
            <w:tcW w:w="3024" w:type="dxa"/>
            <w:gridSpan w:val="2"/>
            <w:tcBorders>
              <w:top w:val="single" w:sz="12" w:space="0" w:color="4F81BD"/>
              <w:left w:val="nil"/>
              <w:bottom w:val="single" w:sz="12" w:space="0" w:color="FFFFFF"/>
              <w:right w:val="single" w:sz="4" w:space="0" w:color="FFFFFF"/>
            </w:tcBorders>
            <w:shd w:val="clear" w:color="4F81BD" w:fill="4F81BD"/>
            <w:hideMark/>
          </w:tcPr>
          <w:p w14:paraId="1A4E189A" w14:textId="77777777" w:rsidR="00C0088A" w:rsidRPr="003A0A70" w:rsidRDefault="00C0088A" w:rsidP="00C0088A">
            <w:pPr>
              <w:spacing w:after="0" w:line="240" w:lineRule="auto"/>
              <w:jc w:val="right"/>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 xml:space="preserve"> </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noWrap/>
            <w:vAlign w:val="bottom"/>
            <w:hideMark/>
          </w:tcPr>
          <w:p w14:paraId="4112899D" w14:textId="77777777" w:rsidR="00C0088A" w:rsidRPr="003A0A70" w:rsidRDefault="00C0088A" w:rsidP="00C0088A">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2019</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noWrap/>
            <w:vAlign w:val="bottom"/>
            <w:hideMark/>
          </w:tcPr>
          <w:p w14:paraId="7F361250" w14:textId="77777777" w:rsidR="00C0088A" w:rsidRPr="003A0A70" w:rsidRDefault="00C0088A" w:rsidP="00C0088A">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2018</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noWrap/>
            <w:vAlign w:val="bottom"/>
            <w:hideMark/>
          </w:tcPr>
          <w:p w14:paraId="586995CD" w14:textId="77777777" w:rsidR="00C0088A" w:rsidRPr="003A0A70" w:rsidRDefault="00C0088A" w:rsidP="00C0088A">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2017</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noWrap/>
            <w:vAlign w:val="bottom"/>
            <w:hideMark/>
          </w:tcPr>
          <w:p w14:paraId="65A4B45C" w14:textId="77777777" w:rsidR="00C0088A" w:rsidRPr="003A0A70" w:rsidRDefault="00C0088A" w:rsidP="00C0088A">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2016</w:t>
            </w:r>
          </w:p>
        </w:tc>
        <w:tc>
          <w:tcPr>
            <w:tcW w:w="1296" w:type="dxa"/>
            <w:tcBorders>
              <w:top w:val="single" w:sz="12" w:space="0" w:color="4F81BD"/>
              <w:left w:val="single" w:sz="4" w:space="0" w:color="FFFFFF"/>
              <w:bottom w:val="single" w:sz="12" w:space="0" w:color="FFFFFF"/>
              <w:right w:val="nil"/>
            </w:tcBorders>
            <w:shd w:val="clear" w:color="4F81BD" w:fill="4F81BD"/>
            <w:noWrap/>
            <w:vAlign w:val="bottom"/>
            <w:hideMark/>
          </w:tcPr>
          <w:p w14:paraId="7AA813EC" w14:textId="77777777" w:rsidR="00C0088A" w:rsidRPr="003A0A70" w:rsidRDefault="00C0088A" w:rsidP="00C0088A">
            <w:pPr>
              <w:spacing w:after="0" w:line="240" w:lineRule="auto"/>
              <w:rPr>
                <w:rFonts w:ascii="Times New Roman" w:eastAsia="Times New Roman" w:hAnsi="Times New Roman" w:cs="Times New Roman"/>
                <w:b/>
                <w:bCs/>
                <w:color w:val="FFFFFF"/>
                <w:sz w:val="24"/>
                <w:szCs w:val="24"/>
              </w:rPr>
            </w:pPr>
            <w:r w:rsidRPr="003A0A70">
              <w:rPr>
                <w:rFonts w:ascii="Times New Roman" w:eastAsia="Times New Roman" w:hAnsi="Times New Roman" w:cs="Times New Roman"/>
                <w:b/>
                <w:bCs/>
                <w:color w:val="FFFFFF"/>
                <w:sz w:val="24"/>
                <w:szCs w:val="24"/>
              </w:rPr>
              <w:t>2015</w:t>
            </w:r>
          </w:p>
        </w:tc>
      </w:tr>
      <w:tr w:rsidR="00C0088A" w:rsidRPr="003A0A70" w14:paraId="0B8B518D"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37979F14"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Product sales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BE8A0C"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30.44%</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C2C8A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30.07%</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985D6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30.07%</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44DF4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33.23%</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635DDC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52.47%</w:t>
            </w:r>
          </w:p>
        </w:tc>
      </w:tr>
      <w:tr w:rsidR="00C0088A" w:rsidRPr="003A0A70" w14:paraId="47B683C8"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7AC451BB" w14:textId="03BD978D" w:rsidR="00C0088A" w:rsidRPr="003A0A70" w:rsidRDefault="00FA2F96"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Subscription</w:t>
            </w:r>
            <w:r w:rsidR="00C0088A" w:rsidRPr="003A0A70">
              <w:rPr>
                <w:rFonts w:ascii="Times New Roman" w:eastAsia="Times New Roman" w:hAnsi="Times New Roman" w:cs="Times New Roman"/>
                <w:color w:val="000000"/>
                <w:sz w:val="24"/>
                <w:szCs w:val="24"/>
              </w:rPr>
              <w:t>, licensing &amp; other revenues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806606"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69.56%</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D6CE0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69.93%</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AA677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69.93%</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50FFC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66.77%</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57229B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47.53%</w:t>
            </w:r>
          </w:p>
        </w:tc>
      </w:tr>
      <w:tr w:rsidR="00C0088A" w:rsidRPr="003A0A70" w14:paraId="706AA912"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3FEA5BA2"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net revenues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CA36BC"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A29ED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B38D9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4AE51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04489E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100.00%</w:t>
            </w:r>
          </w:p>
        </w:tc>
      </w:tr>
      <w:tr w:rsidR="00C0088A" w:rsidRPr="003A0A70" w14:paraId="7C31EAC9"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46E50F0D"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Cost of product sales - product costs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7F34C5"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10.11%</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185B9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9.59%</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7F34A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10.45%</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14DC3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11.21%</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650FE2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19.75%</w:t>
            </w:r>
          </w:p>
        </w:tc>
      </w:tr>
      <w:tr w:rsidR="00C0088A" w:rsidRPr="003A0A70" w14:paraId="610B65C4"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22092712"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Cost of sales - online subscriptions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2C8F5E"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84DAF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D1436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144C3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7BCCCD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4.80%</w:t>
            </w:r>
          </w:p>
        </w:tc>
      </w:tr>
      <w:tr w:rsidR="00C0088A" w:rsidRPr="003A0A70" w14:paraId="6EA6DBF8"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0D4BEE3E"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Cost of sales - software royalties &amp; amortization</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FF726D"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D5986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43F12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87EB5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15C57F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8.83%</w:t>
            </w:r>
          </w:p>
        </w:tc>
      </w:tr>
      <w:tr w:rsidR="00C0088A" w:rsidRPr="003A0A70" w14:paraId="78E85E18"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1251990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Cost of product sales - software royalties, amortization &amp; intellectual property licenses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678205"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3.70%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F3DEA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4.95%</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B232B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4.28%</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4F91B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5.01%</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095ABB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1315139D"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056EB2C9"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Cost of subscription, licensing &amp; other revenues - game operations &amp; distribution costs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CD8A70"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14.87%</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448DC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13.71%</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FEFF4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14.02%</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933EC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12.88%</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2DCFE5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057F12E5"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2A9E2BA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 xml:space="preserve">Cost of subscription, licensing &amp; other revenues - software royalties, </w:t>
            </w:r>
            <w:r w:rsidRPr="003A0A70">
              <w:rPr>
                <w:rFonts w:ascii="Times New Roman" w:eastAsia="Times New Roman" w:hAnsi="Times New Roman" w:cs="Times New Roman"/>
                <w:color w:val="000000"/>
                <w:sz w:val="24"/>
                <w:szCs w:val="24"/>
              </w:rPr>
              <w:lastRenderedPageBreak/>
              <w:t>amortization &amp; intellectual property licenses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FC7ECE"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lastRenderedPageBreak/>
              <w:t>3.59%</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996AF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5.32%</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A9868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6.90%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9AF27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7.13%</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A5477A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6F118DA6"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77048AC5"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Cost of sales - intellectual property licenses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4C8E86"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044DF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30122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34A9E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A66A69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0.60%</w:t>
            </w:r>
          </w:p>
        </w:tc>
      </w:tr>
      <w:tr w:rsidR="00C0088A" w:rsidRPr="003A0A70" w14:paraId="5CEB8D22"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0F740C3F"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Product development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0698F0"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15.38%</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26170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14.68%</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4EAB2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15.23%</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09E7A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14.50%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209616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13.85%</w:t>
            </w:r>
          </w:p>
        </w:tc>
      </w:tr>
      <w:tr w:rsidR="00C0088A" w:rsidRPr="003A0A70" w14:paraId="59F19DEE"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539231EF"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Sales &amp; marketing</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927CD6"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14.27%</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CBDD8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14.16%</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FD8DC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19.64%</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35FFE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18.31%</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3A772F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15.74%</w:t>
            </w:r>
          </w:p>
        </w:tc>
      </w:tr>
      <w:tr w:rsidR="00C0088A" w:rsidRPr="003A0A70" w14:paraId="5744D08D"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2544A282"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General &amp; administrative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1B100B"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11.28%</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43666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11.09%</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BBCF7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10.83%</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13BAF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9.59%</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5F947D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8.15%</w:t>
            </w:r>
          </w:p>
        </w:tc>
      </w:tr>
      <w:tr w:rsidR="00C0088A" w:rsidRPr="003A0A70" w14:paraId="75CAD297"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060190D6"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Restructuring &amp; related costs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1E0C88"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2.03%</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D3660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FD928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EB0E4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A8E727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38586322"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00FDD90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costs &amp; expenses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7AAF7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75.24%</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A93EB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73.49%</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D8E94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81.35%</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7B5BA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78.63%</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879164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71.72%</w:t>
            </w:r>
          </w:p>
        </w:tc>
      </w:tr>
      <w:tr w:rsidR="00C0088A" w:rsidRPr="003A0A70" w14:paraId="2C9FBE0B"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31DFD1D0"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Operating income (loss)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80F6D2"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24.76%</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89C37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26.51%</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1C525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18.65%</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90CB7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21.37%</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AD9B27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28.28%</w:t>
            </w:r>
          </w:p>
        </w:tc>
      </w:tr>
      <w:tr w:rsidR="00C0088A" w:rsidRPr="003A0A70" w14:paraId="43E377FB"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074A84CA"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Interest income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D4F639"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1.22%</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F6D56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0.87%</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66A5F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F8E53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F7F5B6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4AF4EACF"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087EBD0A"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Interest expense from debt &amp; amortization of debt discount &amp; deferred financing costs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26EED8"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1.39%</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A58F8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1.87%</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7F738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7FC64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FE7640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1B514301"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30E0DC9E"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Unrealized gain on equity investment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7C75EF"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0.59%</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C5382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08F4D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A56B2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20D17A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0E16B962"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17842EF8"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Other income (expense),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0A9D03"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36496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0.05%</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AB52B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91A70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DC0876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58493CC4"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18D2A4F8"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Interest &amp; other income (expense),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0F72B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AFDDC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-0.95%</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DBB6D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03367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64E636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-4.25%</w:t>
            </w:r>
          </w:p>
        </w:tc>
      </w:tr>
      <w:tr w:rsidR="00C0088A" w:rsidRPr="003A0A70" w14:paraId="0BB3CDA2"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0CAD0FA6"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Interest &amp; other income (expense),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3E0667"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8898F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61767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-2.08%</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0A0C7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-3.24%</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98E1B2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65F746A9"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0BE47102"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Income (loss) on extinguishment of debt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D01332"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7D4B3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-0.53%</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BB65F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-0.17%</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432DD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-1.39%</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7424FA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62AA324D"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5A5E9EAE"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Income (loss) before income tax expense (benefit) - domestic</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FA5884"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5.05%</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22C1F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5.76%</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778D2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2.64%</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6FC19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3.45%</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0630B0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7.61%</w:t>
            </w:r>
          </w:p>
        </w:tc>
      </w:tr>
      <w:tr w:rsidR="00C0088A" w:rsidRPr="003A0A70" w14:paraId="0BD6D2AA"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3658A75D"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Income (loss) before income tax expense (benefit) - foreign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196A23"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20.11%</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0981E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19.27%</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C955D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13.77%</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EDBD5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13.29%</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C8595F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16.42%</w:t>
            </w:r>
          </w:p>
        </w:tc>
      </w:tr>
      <w:tr w:rsidR="00C0088A" w:rsidRPr="003A0A70" w14:paraId="04404873"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4B5C847F"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Income (loss) before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53D394"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25.17%</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E8ADA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25.03%</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59E3A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16.40%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7FB2F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16.74%</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F02A9F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24.04%</w:t>
            </w:r>
          </w:p>
        </w:tc>
      </w:tr>
      <w:tr w:rsidR="00C0088A" w:rsidRPr="003A0A70" w14:paraId="26AD7FA1"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312808B8"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Current income tax expense (benefit) - federal</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E3435F"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9C8D2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-3.04%</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DEB08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9.92%</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273C2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-0.23%</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23C845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3.62%</w:t>
            </w:r>
          </w:p>
        </w:tc>
      </w:tr>
      <w:tr w:rsidR="00C0088A" w:rsidRPr="003A0A70" w14:paraId="02EB5DE2"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690619A7"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Current income tax expense (benefit) - state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131787"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0.37%</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7A532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D6144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0.37%</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D5D33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0.24%</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D13FD5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0.66%</w:t>
            </w:r>
          </w:p>
        </w:tc>
      </w:tr>
      <w:tr w:rsidR="00C0088A" w:rsidRPr="003A0A70" w14:paraId="180682C9"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1A7D681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Current income tax expense (benefit) - foreign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0E1A29"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4.98%</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0E7A6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3.73%</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7A7D4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4.77%</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25386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2.27%</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2F0B96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0.86%</w:t>
            </w:r>
          </w:p>
        </w:tc>
      </w:tr>
      <w:tr w:rsidR="00C0088A" w:rsidRPr="003A0A70" w14:paraId="368DDCA7"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4CD419FB"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current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F59E87"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7.44%</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CF93E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0.49%</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6A16A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15.06%</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F3E9A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2.29%</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A583FA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5.15%</w:t>
            </w:r>
          </w:p>
        </w:tc>
      </w:tr>
      <w:tr w:rsidR="00C0088A" w:rsidRPr="003A0A70" w14:paraId="71E000C4"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7B56D259"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income tax expense (benefit) - federal</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D09ECF"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12.04%</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695C6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-1.31%</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0B39F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-1.58%</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BB31C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0.61%</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C70E3C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r>
      <w:tr w:rsidR="00C0088A" w:rsidRPr="003A0A70" w14:paraId="5F359FBC"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398A627A"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income tax expense (benefit) - state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F0C527"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-0.25%</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C8330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1.41%</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5B30F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-0.46%</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7188B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9975F7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-0.45%</w:t>
            </w:r>
          </w:p>
        </w:tc>
      </w:tr>
      <w:tr w:rsidR="00C0088A" w:rsidRPr="003A0A70" w14:paraId="07CC73D9"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273DCAC9"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Deferred income tax expense (benefit) - foreign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99528C"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-17.23%</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0069F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0.25%</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ED65B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-0.51%</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651B8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-0.58%</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2DE5E1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0.19%</w:t>
            </w:r>
          </w:p>
        </w:tc>
      </w:tr>
      <w:tr w:rsidR="00C0088A" w:rsidRPr="003A0A70" w14:paraId="11923FB6"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4984F6FE"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lastRenderedPageBreak/>
              <w:t>Total deferred 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0439BB"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-5.44%</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276B09"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0.36%</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4229A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-2.55%</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44254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-0.17%</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B58326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-0.24%</w:t>
            </w:r>
          </w:p>
        </w:tc>
      </w:tr>
      <w:tr w:rsidR="00C0088A" w:rsidRPr="003A0A70" w14:paraId="756444B9"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32A2D5A0"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Income tax expense (benefit)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EA30EB"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63806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0.85%</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4127B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12.51%</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9D517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2.12%</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24B7F6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4.91%</w:t>
            </w:r>
          </w:p>
        </w:tc>
      </w:tr>
      <w:tr w:rsidR="00C0088A" w:rsidRPr="003A0A70" w14:paraId="3F65C70D"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22AD5C07"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Net income (loss)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B044E4"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23.16%</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4FE28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24.17%</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B321A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3.89%</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1EC2C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14.62%</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122641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19.13%</w:t>
            </w:r>
          </w:p>
        </w:tc>
      </w:tr>
      <w:tr w:rsidR="00C0088A" w:rsidRPr="003A0A70" w14:paraId="1C57346E"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3E92269F"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Weighted average shares outstanding - basic</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E086FE"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11.82%</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A780F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10.16%</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0B2A2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10.75%</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5D946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11.20%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0140D8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15.61%</w:t>
            </w:r>
          </w:p>
        </w:tc>
      </w:tr>
      <w:tr w:rsidR="00C0088A" w:rsidRPr="003A0A70" w14:paraId="63F8FD66"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588331A2"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Weighted average shares outstanding - diluted</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13FAE1"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11.88%</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8C5A3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10.28%</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6DA69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10.92%</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9D4BB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11.41%</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66FA42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15.84%</w:t>
            </w:r>
          </w:p>
        </w:tc>
      </w:tr>
      <w:tr w:rsidR="00C0088A" w:rsidRPr="003A0A70" w14:paraId="2EA7FF16"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621E29B7"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Year end shares outstanding</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332E64"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11.85%</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87952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10.18%</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720FC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10.80%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D3FC8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11.28%</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D8B28C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15.75%</w:t>
            </w:r>
          </w:p>
        </w:tc>
      </w:tr>
      <w:tr w:rsidR="00C0088A" w:rsidRPr="003A0A70" w14:paraId="08198C03"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7DF1A995"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Net earnings (loss) per common share - basic</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03BAFB"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2900C8"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0FCB1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EE909C"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02EA26A"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607BC251"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571CF7DA"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Net earnings (loss) per common share - diluted</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5D38D8"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5A775B"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A1C37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D3704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F88719F"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1326F54D"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06DA8A73"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Dividends per common share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FE1C45"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8F494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FAE3D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0367A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FAD371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r>
      <w:tr w:rsidR="00C0088A" w:rsidRPr="003A0A70" w14:paraId="2C37056D"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B8CCE4" w:fill="B8CCE4"/>
            <w:vAlign w:val="bottom"/>
            <w:hideMark/>
          </w:tcPr>
          <w:p w14:paraId="589D4830"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Total number of employees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E742A4"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0.14%</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F441F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0.13%</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930634"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0.14%</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61ED8D"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0.15%</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9E33362"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0.16%</w:t>
            </w:r>
          </w:p>
        </w:tc>
      </w:tr>
      <w:tr w:rsidR="00C0088A" w:rsidRPr="003A0A70" w14:paraId="3009F9DA" w14:textId="77777777" w:rsidTr="00C0088A">
        <w:trPr>
          <w:trHeight w:val="255"/>
        </w:trPr>
        <w:tc>
          <w:tcPr>
            <w:tcW w:w="3024" w:type="dxa"/>
            <w:gridSpan w:val="2"/>
            <w:tcBorders>
              <w:top w:val="single" w:sz="4" w:space="0" w:color="FFFFFF"/>
              <w:left w:val="nil"/>
              <w:bottom w:val="single" w:sz="4" w:space="0" w:color="FFFFFF"/>
              <w:right w:val="single" w:sz="4" w:space="0" w:color="FFFFFF"/>
            </w:tcBorders>
            <w:shd w:val="clear" w:color="DCE6F1" w:fill="DCE6F1"/>
            <w:vAlign w:val="bottom"/>
            <w:hideMark/>
          </w:tcPr>
          <w:p w14:paraId="55D803BC"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Number of common stockholders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1414AB"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69C801"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2A86B5"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0.02%</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7EBE60"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0.03%</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45A1CA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0.04%</w:t>
            </w:r>
          </w:p>
        </w:tc>
      </w:tr>
      <w:tr w:rsidR="00C0088A" w:rsidRPr="003A0A70" w14:paraId="75630016" w14:textId="77777777" w:rsidTr="00C0088A">
        <w:trPr>
          <w:trHeight w:val="255"/>
        </w:trPr>
        <w:tc>
          <w:tcPr>
            <w:tcW w:w="3024" w:type="dxa"/>
            <w:gridSpan w:val="2"/>
            <w:tcBorders>
              <w:top w:val="single" w:sz="4" w:space="0" w:color="FFFFFF"/>
              <w:left w:val="nil"/>
              <w:bottom w:val="nil"/>
              <w:right w:val="single" w:sz="4" w:space="0" w:color="FFFFFF"/>
            </w:tcBorders>
            <w:shd w:val="clear" w:color="B8CCE4" w:fill="B8CCE4"/>
            <w:vAlign w:val="bottom"/>
            <w:hideMark/>
          </w:tcPr>
          <w:p w14:paraId="09C2E91B"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Foreign currency translation adjustments</w:t>
            </w:r>
          </w:p>
        </w:tc>
        <w:tc>
          <w:tcPr>
            <w:tcW w:w="1296" w:type="dxa"/>
            <w:tcBorders>
              <w:top w:val="single" w:sz="4" w:space="0" w:color="FFFFFF"/>
              <w:left w:val="single" w:sz="4" w:space="0" w:color="FFFFFF"/>
              <w:bottom w:val="nil"/>
              <w:right w:val="single" w:sz="4" w:space="0" w:color="FFFFFF"/>
            </w:tcBorders>
            <w:shd w:val="clear" w:color="B8CCE4" w:fill="B8CCE4"/>
            <w:noWrap/>
            <w:vAlign w:val="bottom"/>
            <w:hideMark/>
          </w:tcPr>
          <w:p w14:paraId="15755A2C" w14:textId="77777777" w:rsidR="00C0088A" w:rsidRPr="003A0A70" w:rsidRDefault="00C0088A" w:rsidP="00C0088A">
            <w:pPr>
              <w:spacing w:after="0" w:line="240" w:lineRule="auto"/>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0.00%</w:t>
            </w:r>
          </w:p>
        </w:tc>
        <w:tc>
          <w:tcPr>
            <w:tcW w:w="1296" w:type="dxa"/>
            <w:tcBorders>
              <w:top w:val="single" w:sz="4" w:space="0" w:color="FFFFFF"/>
              <w:left w:val="single" w:sz="4" w:space="0" w:color="FFFFFF"/>
              <w:bottom w:val="nil"/>
              <w:right w:val="single" w:sz="4" w:space="0" w:color="FFFFFF"/>
            </w:tcBorders>
            <w:shd w:val="clear" w:color="B8CCE4" w:fill="B8CCE4"/>
            <w:noWrap/>
            <w:vAlign w:val="bottom"/>
            <w:hideMark/>
          </w:tcPr>
          <w:p w14:paraId="521107A6"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-0.12%</w:t>
            </w:r>
          </w:p>
        </w:tc>
        <w:tc>
          <w:tcPr>
            <w:tcW w:w="1296" w:type="dxa"/>
            <w:tcBorders>
              <w:top w:val="single" w:sz="4" w:space="0" w:color="FFFFFF"/>
              <w:left w:val="single" w:sz="4" w:space="0" w:color="FFFFFF"/>
              <w:bottom w:val="nil"/>
              <w:right w:val="single" w:sz="4" w:space="0" w:color="FFFFFF"/>
            </w:tcBorders>
            <w:shd w:val="clear" w:color="B8CCE4" w:fill="B8CCE4"/>
            <w:noWrap/>
            <w:vAlign w:val="bottom"/>
            <w:hideMark/>
          </w:tcPr>
          <w:p w14:paraId="725F57F3"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0.51%</w:t>
            </w:r>
          </w:p>
        </w:tc>
        <w:tc>
          <w:tcPr>
            <w:tcW w:w="1296" w:type="dxa"/>
            <w:tcBorders>
              <w:top w:val="single" w:sz="4" w:space="0" w:color="FFFFFF"/>
              <w:left w:val="single" w:sz="4" w:space="0" w:color="FFFFFF"/>
              <w:bottom w:val="nil"/>
              <w:right w:val="single" w:sz="4" w:space="0" w:color="FFFFFF"/>
            </w:tcBorders>
            <w:shd w:val="clear" w:color="B8CCE4" w:fill="B8CCE4"/>
            <w:noWrap/>
            <w:vAlign w:val="bottom"/>
            <w:hideMark/>
          </w:tcPr>
          <w:p w14:paraId="4EBDEDA7"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-0.44%</w:t>
            </w:r>
          </w:p>
        </w:tc>
        <w:tc>
          <w:tcPr>
            <w:tcW w:w="1296" w:type="dxa"/>
            <w:tcBorders>
              <w:top w:val="single" w:sz="4" w:space="0" w:color="FFFFFF"/>
              <w:left w:val="single" w:sz="4" w:space="0" w:color="FFFFFF"/>
              <w:bottom w:val="nil"/>
              <w:right w:val="nil"/>
            </w:tcBorders>
            <w:shd w:val="clear" w:color="B8CCE4" w:fill="B8CCE4"/>
            <w:noWrap/>
            <w:vAlign w:val="bottom"/>
            <w:hideMark/>
          </w:tcPr>
          <w:p w14:paraId="6752FA8E" w14:textId="77777777" w:rsidR="00C0088A" w:rsidRPr="003A0A70" w:rsidRDefault="00C0088A" w:rsidP="00C0088A">
            <w:pPr>
              <w:spacing w:after="0" w:line="240" w:lineRule="auto"/>
              <w:jc w:val="right"/>
              <w:rPr>
                <w:rFonts w:ascii="Times New Roman" w:eastAsia="Times New Roman" w:hAnsi="Times New Roman" w:cs="Times New Roman"/>
                <w:color w:val="000000"/>
                <w:sz w:val="24"/>
                <w:szCs w:val="24"/>
              </w:rPr>
            </w:pPr>
            <w:r w:rsidRPr="003A0A70">
              <w:rPr>
                <w:rFonts w:ascii="Times New Roman" w:eastAsia="Times New Roman" w:hAnsi="Times New Roman" w:cs="Times New Roman"/>
                <w:color w:val="000000"/>
                <w:sz w:val="24"/>
                <w:szCs w:val="24"/>
              </w:rPr>
              <w:t>-6.99%</w:t>
            </w:r>
          </w:p>
        </w:tc>
      </w:tr>
    </w:tbl>
    <w:p w14:paraId="22F24DA9" w14:textId="3A5740C4" w:rsidR="00AB006D" w:rsidRDefault="00AB006D" w:rsidP="0084121B">
      <w:pPr>
        <w:shd w:val="clear" w:color="auto" w:fill="FFFFFF"/>
        <w:spacing w:line="480" w:lineRule="auto"/>
        <w:ind w:hanging="330"/>
        <w:rPr>
          <w:rFonts w:ascii="Times New Roman" w:eastAsia="Times New Roman" w:hAnsi="Times New Roman" w:cs="Times New Roman"/>
          <w:color w:val="333333"/>
          <w:sz w:val="24"/>
          <w:szCs w:val="24"/>
        </w:rPr>
      </w:pPr>
    </w:p>
    <w:p w14:paraId="58C447DD"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7D05CEBC"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62D90040"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39EB7E21"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1A527A87"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69334BE8"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6FF3EC54"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7BBE45AD"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4D840518"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5CC43E50" w14:textId="2525FB7D" w:rsidR="00250DA5" w:rsidRPr="00250DA5" w:rsidRDefault="00250DA5" w:rsidP="00250DA5">
      <w:pPr>
        <w:pStyle w:val="Heading1"/>
        <w:spacing w:line="480" w:lineRule="auto"/>
        <w:jc w:val="center"/>
        <w:rPr>
          <w:rFonts w:ascii="Times New Roman" w:eastAsia="Times New Roman" w:hAnsi="Times New Roman" w:cs="Times New Roman"/>
          <w:color w:val="auto"/>
          <w:sz w:val="24"/>
          <w:szCs w:val="24"/>
          <w:u w:val="single"/>
        </w:rPr>
      </w:pPr>
      <w:r w:rsidRPr="00250DA5">
        <w:rPr>
          <w:rFonts w:ascii="Times New Roman" w:eastAsia="Times New Roman" w:hAnsi="Times New Roman" w:cs="Times New Roman"/>
          <w:color w:val="auto"/>
          <w:sz w:val="24"/>
          <w:szCs w:val="24"/>
        </w:rPr>
        <w:lastRenderedPageBreak/>
        <w:t>Appendix</w:t>
      </w:r>
      <w:r>
        <w:rPr>
          <w:rFonts w:ascii="Times New Roman" w:eastAsia="Times New Roman" w:hAnsi="Times New Roman" w:cs="Times New Roman"/>
          <w:color w:val="auto"/>
          <w:sz w:val="24"/>
          <w:szCs w:val="24"/>
        </w:rPr>
        <w:t xml:space="preserve"> E</w:t>
      </w:r>
    </w:p>
    <w:tbl>
      <w:tblPr>
        <w:tblW w:w="9360" w:type="dxa"/>
        <w:tblLook w:val="04A0" w:firstRow="1" w:lastRow="0" w:firstColumn="1" w:lastColumn="0" w:noHBand="0" w:noVBand="1"/>
      </w:tblPr>
      <w:tblGrid>
        <w:gridCol w:w="2880"/>
        <w:gridCol w:w="1296"/>
        <w:gridCol w:w="1296"/>
        <w:gridCol w:w="1296"/>
        <w:gridCol w:w="1296"/>
        <w:gridCol w:w="1296"/>
      </w:tblGrid>
      <w:tr w:rsidR="00515718" w:rsidRPr="00515718" w14:paraId="5701B153" w14:textId="77777777" w:rsidTr="00515718">
        <w:trPr>
          <w:trHeight w:val="390"/>
        </w:trPr>
        <w:tc>
          <w:tcPr>
            <w:tcW w:w="2880" w:type="dxa"/>
            <w:tcBorders>
              <w:top w:val="nil"/>
              <w:left w:val="nil"/>
              <w:bottom w:val="nil"/>
              <w:right w:val="nil"/>
            </w:tcBorders>
            <w:shd w:val="clear" w:color="000000" w:fill="B8CCE4"/>
            <w:noWrap/>
            <w:vAlign w:val="bottom"/>
            <w:hideMark/>
          </w:tcPr>
          <w:p w14:paraId="3B80A58F" w14:textId="77777777" w:rsidR="00515718" w:rsidRPr="00515718" w:rsidRDefault="00515718" w:rsidP="00515718">
            <w:pPr>
              <w:spacing w:after="0" w:line="240" w:lineRule="auto"/>
              <w:rPr>
                <w:rFonts w:ascii="Calibri" w:eastAsia="Times New Roman" w:hAnsi="Calibri" w:cs="Calibri"/>
                <w:b/>
                <w:bCs/>
                <w:color w:val="1F497D"/>
                <w:sz w:val="24"/>
                <w:szCs w:val="24"/>
              </w:rPr>
            </w:pPr>
            <w:r w:rsidRPr="00515718">
              <w:rPr>
                <w:rFonts w:ascii="Calibri" w:eastAsia="Times New Roman" w:hAnsi="Calibri" w:cs="Calibri"/>
                <w:b/>
                <w:bCs/>
                <w:color w:val="1F497D"/>
                <w:sz w:val="24"/>
                <w:szCs w:val="24"/>
              </w:rPr>
              <w:t>Appendix E</w:t>
            </w:r>
          </w:p>
        </w:tc>
        <w:tc>
          <w:tcPr>
            <w:tcW w:w="6480" w:type="dxa"/>
            <w:gridSpan w:val="5"/>
            <w:tcBorders>
              <w:top w:val="nil"/>
              <w:left w:val="nil"/>
              <w:bottom w:val="nil"/>
              <w:right w:val="nil"/>
            </w:tcBorders>
            <w:shd w:val="clear" w:color="000000" w:fill="B8CCE4"/>
            <w:hideMark/>
          </w:tcPr>
          <w:p w14:paraId="515C24EE" w14:textId="77777777" w:rsidR="00515718" w:rsidRPr="00515718" w:rsidRDefault="00515718" w:rsidP="00515718">
            <w:pPr>
              <w:spacing w:after="0" w:line="240" w:lineRule="auto"/>
              <w:jc w:val="center"/>
              <w:rPr>
                <w:rFonts w:ascii="Calibri" w:eastAsia="Times New Roman" w:hAnsi="Calibri" w:cs="Calibri"/>
                <w:b/>
                <w:bCs/>
                <w:color w:val="1F497D"/>
                <w:sz w:val="30"/>
                <w:szCs w:val="30"/>
              </w:rPr>
            </w:pPr>
            <w:r w:rsidRPr="00515718">
              <w:rPr>
                <w:rFonts w:ascii="Calibri" w:eastAsia="Times New Roman" w:hAnsi="Calibri" w:cs="Calibri"/>
                <w:b/>
                <w:bCs/>
                <w:color w:val="1F497D"/>
                <w:sz w:val="30"/>
                <w:szCs w:val="30"/>
              </w:rPr>
              <w:t xml:space="preserve">Electronic Arts - Annual Cash Flow </w:t>
            </w:r>
          </w:p>
        </w:tc>
      </w:tr>
      <w:tr w:rsidR="00515718" w:rsidRPr="00515718" w14:paraId="6BA5E268" w14:textId="77777777" w:rsidTr="00515718">
        <w:trPr>
          <w:trHeight w:val="259"/>
        </w:trPr>
        <w:tc>
          <w:tcPr>
            <w:tcW w:w="2880" w:type="dxa"/>
            <w:tcBorders>
              <w:top w:val="single" w:sz="12" w:space="0" w:color="4F81BD"/>
              <w:left w:val="nil"/>
              <w:bottom w:val="single" w:sz="12" w:space="0" w:color="FFFFFF"/>
              <w:right w:val="single" w:sz="4" w:space="0" w:color="FFFFFF"/>
            </w:tcBorders>
            <w:shd w:val="clear" w:color="4F81BD" w:fill="4F81BD"/>
            <w:hideMark/>
          </w:tcPr>
          <w:p w14:paraId="76FCA872"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 xml:space="preserve"> </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noWrap/>
            <w:vAlign w:val="bottom"/>
            <w:hideMark/>
          </w:tcPr>
          <w:p w14:paraId="55D721D0"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2019</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noWrap/>
            <w:vAlign w:val="bottom"/>
            <w:hideMark/>
          </w:tcPr>
          <w:p w14:paraId="393900E7"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2018</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noWrap/>
            <w:vAlign w:val="bottom"/>
            <w:hideMark/>
          </w:tcPr>
          <w:p w14:paraId="5AE47DAD"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2017</w:t>
            </w:r>
          </w:p>
        </w:tc>
        <w:tc>
          <w:tcPr>
            <w:tcW w:w="1296" w:type="dxa"/>
            <w:tcBorders>
              <w:top w:val="single" w:sz="12" w:space="0" w:color="4F81BD"/>
              <w:left w:val="single" w:sz="4" w:space="0" w:color="FFFFFF"/>
              <w:bottom w:val="single" w:sz="12" w:space="0" w:color="FFFFFF"/>
              <w:right w:val="single" w:sz="4" w:space="0" w:color="FFFFFF"/>
            </w:tcBorders>
            <w:shd w:val="clear" w:color="4F81BD" w:fill="4F81BD"/>
            <w:noWrap/>
            <w:vAlign w:val="bottom"/>
            <w:hideMark/>
          </w:tcPr>
          <w:p w14:paraId="0AB634EF"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2016</w:t>
            </w:r>
          </w:p>
        </w:tc>
        <w:tc>
          <w:tcPr>
            <w:tcW w:w="1296" w:type="dxa"/>
            <w:tcBorders>
              <w:top w:val="single" w:sz="12" w:space="0" w:color="4F81BD"/>
              <w:left w:val="single" w:sz="4" w:space="0" w:color="FFFFFF"/>
              <w:bottom w:val="single" w:sz="12" w:space="0" w:color="FFFFFF"/>
              <w:right w:val="nil"/>
            </w:tcBorders>
            <w:shd w:val="clear" w:color="4F81BD" w:fill="4F81BD"/>
            <w:noWrap/>
            <w:vAlign w:val="bottom"/>
            <w:hideMark/>
          </w:tcPr>
          <w:p w14:paraId="0B197B8F"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2015</w:t>
            </w:r>
          </w:p>
        </w:tc>
      </w:tr>
      <w:tr w:rsidR="00515718" w:rsidRPr="00515718" w14:paraId="6320F698"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55EB983B"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Net income (loss)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3BF15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1019000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A7662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1043000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060F0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967000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7B4FF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1156000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DB6A69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875000</w:t>
            </w:r>
          </w:p>
        </w:tc>
      </w:tr>
      <w:tr w:rsidR="00515718" w:rsidRPr="00515718" w14:paraId="0B8B7408"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2A1110B"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Depreciation, amortization &amp; accretion</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17951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BF286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7E369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FFF3C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197000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138CFD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220000</w:t>
            </w:r>
          </w:p>
        </w:tc>
      </w:tr>
      <w:tr w:rsidR="00515718" w:rsidRPr="00515718" w14:paraId="467F83F3"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FEF1E76"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Stock-based compensation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70809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284000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02E8A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242000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A4B59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D7816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178000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B8B351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144000</w:t>
            </w:r>
          </w:p>
        </w:tc>
      </w:tr>
      <w:tr w:rsidR="00515718" w:rsidRPr="00515718" w14:paraId="744AFCB8"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4F5D2A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Loss on conversion of convertible notes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9F0E3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EFFFC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348C4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F6337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9224F5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6D17D511"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BCE148E"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Acquisition-related contingent consideration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F7733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0BC08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E6A43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366DE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22413C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-3000</w:t>
            </w:r>
          </w:p>
        </w:tc>
      </w:tr>
      <w:tr w:rsidR="00515718" w:rsidRPr="00515718" w14:paraId="5FA42C96"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4655DF4B"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Receivables,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640C4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38A77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7D2A4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CB48B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127000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9B1A8C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-54000</w:t>
            </w:r>
          </w:p>
        </w:tc>
      </w:tr>
      <w:tr w:rsidR="00515718" w:rsidRPr="00515718" w14:paraId="1F44804E"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384F57FA"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Inventories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EED15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E2917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F329F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9CE6B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54C682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19000</w:t>
            </w:r>
          </w:p>
        </w:tc>
      </w:tr>
      <w:tr w:rsidR="00515718" w:rsidRPr="00515718" w14:paraId="00598B1D"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1FAE58A"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Other assets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44914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857EA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59635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4454F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A7D9F6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87000</w:t>
            </w:r>
          </w:p>
        </w:tc>
      </w:tr>
      <w:tr w:rsidR="00515718" w:rsidRPr="00515718" w14:paraId="1A4C3BCC"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63A96B4"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Accounts payable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B42F9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927E8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0D877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1347F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6BD615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-46000</w:t>
            </w:r>
          </w:p>
        </w:tc>
      </w:tr>
      <w:tr w:rsidR="00515718" w:rsidRPr="00515718" w14:paraId="0DCD406E"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99EB7E1"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Accrued &amp; other liabilities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012A7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C747F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217B3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7FEF2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-252000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E076C2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31000</w:t>
            </w:r>
          </w:p>
        </w:tc>
      </w:tr>
      <w:tr w:rsidR="00515718" w:rsidRPr="00515718" w14:paraId="138D58FD"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162D8625"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Deferred income taxes,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7FE62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AE10A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C2D63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A141F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-403000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26B905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1000</w:t>
            </w:r>
          </w:p>
        </w:tc>
      </w:tr>
      <w:tr w:rsidR="00515718" w:rsidRPr="00515718" w14:paraId="76AD3DE9"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09B98CC"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Deferred net revenue (online-enabled games)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4192C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A7C0A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95BFC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EBD0B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175000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0B40EE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-207000</w:t>
            </w:r>
          </w:p>
        </w:tc>
      </w:tr>
      <w:tr w:rsidR="00515718" w:rsidRPr="00515718" w14:paraId="6CD2D4CF"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6F2D0D1A"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Net cash flows from operating activities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5C893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1547000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08FD0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1692000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E03E5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1383000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C4D4B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1223000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12252E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1067000</w:t>
            </w:r>
          </w:p>
        </w:tc>
      </w:tr>
      <w:tr w:rsidR="00515718" w:rsidRPr="00515718" w14:paraId="1F282180"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6F3AFD30"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Capital expenditures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0FFB2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238DA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FDB16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8CB58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-93000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71D03D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-95000</w:t>
            </w:r>
          </w:p>
        </w:tc>
      </w:tr>
      <w:tr w:rsidR="00515718" w:rsidRPr="00515718" w14:paraId="6BA839A0"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6199E44B"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Proceeds from maturities &amp; sales of short-term investments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D8054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1688000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508F6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3166000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9A24E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1281000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85A9F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941000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4D788C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727000</w:t>
            </w:r>
          </w:p>
        </w:tc>
      </w:tr>
      <w:tr w:rsidR="00515718" w:rsidRPr="00515718" w14:paraId="081A70E7"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FB79375"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Purchase of short-term investments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A0AB5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-1342000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DB3A6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-2287000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5B26B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-1917000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E8993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-1332000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04A93F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-1102000</w:t>
            </w:r>
          </w:p>
        </w:tc>
      </w:tr>
      <w:tr w:rsidR="00515718" w:rsidRPr="00515718" w14:paraId="4CA6EFD1"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969F40E"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Acquisition, net of cash acquired</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C4A86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7C95A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85668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BC355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C57500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546D4E74"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B4B10C0"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Net cash flows from investing activities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CE57D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169000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0C8E8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622000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C4861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-759000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59114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-484000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1F87A0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-470000</w:t>
            </w:r>
          </w:p>
        </w:tc>
      </w:tr>
      <w:tr w:rsidR="00515718" w:rsidRPr="00515718" w14:paraId="2FBBA236"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067AD08"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Proceeds from issuance of senior notes, net of issuance costs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65CD2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7CCC7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BD551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76151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989000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D13128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4933CACE"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4C4AB62D"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Payment of convertible notes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3BBDE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F133C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5CA34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-163000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F18F6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-470000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91802E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79B76DDD"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62F822D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Proceeds from issuance of common stock</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5D826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614DC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F20F1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39643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107000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2C70FD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60000</w:t>
            </w:r>
          </w:p>
        </w:tc>
      </w:tr>
      <w:tr w:rsidR="00515718" w:rsidRPr="00515718" w14:paraId="74F53CC0"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CFEB16C"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Cash paid to taxing authorities for shares withheld from employees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E932B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4B259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EEEC6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EFE24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CC8230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47D72E29"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F289732"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Excess tax benefit from stock-based compensation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3D465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C01DB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41ED5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3A40D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ED5B6E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22000</w:t>
            </w:r>
          </w:p>
        </w:tc>
      </w:tr>
      <w:tr w:rsidR="00515718" w:rsidRPr="00515718" w14:paraId="4C4D41E9"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512BE1A"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Repurchase &amp; retirement of common stock</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13B1C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-1192000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98F4D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-601000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F4CC9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-508000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5AA94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-1018000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A1E025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-337000</w:t>
            </w:r>
          </w:p>
        </w:tc>
      </w:tr>
      <w:tr w:rsidR="00515718" w:rsidRPr="00515718" w14:paraId="5336F3F8"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4AE6743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Net cash flows from financing activities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05436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-1253000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F70BE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-643000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9055B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-534000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351B2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-306000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6609B6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-255000</w:t>
            </w:r>
          </w:p>
        </w:tc>
      </w:tr>
      <w:tr w:rsidR="00515718" w:rsidRPr="00515718" w14:paraId="22FAAA12"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E3A4F5A"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Effect of foreign exchange on cash &amp; cash equivalents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031CD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773D2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71C61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C9B17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8AA93F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-56000</w:t>
            </w:r>
          </w:p>
        </w:tc>
      </w:tr>
      <w:tr w:rsidR="00515718" w:rsidRPr="00515718" w14:paraId="557303F1"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55B3162"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Increase (decrease) in cash &amp; cash equivalents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8242F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450000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4FA05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1693000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C74D0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E2BF1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425000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4C99C0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286000</w:t>
            </w:r>
          </w:p>
        </w:tc>
      </w:tr>
      <w:tr w:rsidR="00515718" w:rsidRPr="00515718" w14:paraId="256A44C8"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86B211F"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lastRenderedPageBreak/>
              <w:t>Beginning cash &amp; cash equivalents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E283A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4258000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E2160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2565000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74F63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2493000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17A81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2068000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8984A6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1782000</w:t>
            </w:r>
          </w:p>
        </w:tc>
      </w:tr>
      <w:tr w:rsidR="00515718" w:rsidRPr="00515718" w14:paraId="4F5B27B9"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8DD6274"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Ending cash &amp; cash equivalents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16E60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4708000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82F44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4258000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E1426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2565000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BDF6C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2493000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5B156C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2068000</w:t>
            </w:r>
          </w:p>
        </w:tc>
      </w:tr>
      <w:tr w:rsidR="00515718" w:rsidRPr="00515718" w14:paraId="789BF65A" w14:textId="77777777" w:rsidTr="00515718">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70FC1B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Cash paid during the year for income taxes, net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877DB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EDE50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778BA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34ED7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35000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D86D4B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2000</w:t>
            </w:r>
          </w:p>
        </w:tc>
      </w:tr>
      <w:tr w:rsidR="00515718" w:rsidRPr="00515718" w14:paraId="3B000164" w14:textId="77777777" w:rsidTr="00515718">
        <w:trPr>
          <w:trHeight w:val="259"/>
        </w:trPr>
        <w:tc>
          <w:tcPr>
            <w:tcW w:w="2880" w:type="dxa"/>
            <w:tcBorders>
              <w:top w:val="single" w:sz="4" w:space="0" w:color="FFFFFF"/>
              <w:left w:val="nil"/>
              <w:bottom w:val="nil"/>
              <w:right w:val="single" w:sz="4" w:space="0" w:color="FFFFFF"/>
            </w:tcBorders>
            <w:shd w:val="clear" w:color="B8CCE4" w:fill="B8CCE4"/>
            <w:vAlign w:val="bottom"/>
            <w:hideMark/>
          </w:tcPr>
          <w:p w14:paraId="1246D488"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Cash paid during the year for interest</w:t>
            </w:r>
          </w:p>
        </w:tc>
        <w:tc>
          <w:tcPr>
            <w:tcW w:w="1296" w:type="dxa"/>
            <w:tcBorders>
              <w:top w:val="single" w:sz="4" w:space="0" w:color="FFFFFF"/>
              <w:left w:val="single" w:sz="4" w:space="0" w:color="FFFFFF"/>
              <w:bottom w:val="nil"/>
              <w:right w:val="single" w:sz="4" w:space="0" w:color="FFFFFF"/>
            </w:tcBorders>
            <w:shd w:val="clear" w:color="B8CCE4" w:fill="B8CCE4"/>
            <w:noWrap/>
            <w:vAlign w:val="bottom"/>
            <w:hideMark/>
          </w:tcPr>
          <w:p w14:paraId="4254265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42000</w:t>
            </w:r>
          </w:p>
        </w:tc>
        <w:tc>
          <w:tcPr>
            <w:tcW w:w="1296" w:type="dxa"/>
            <w:tcBorders>
              <w:top w:val="single" w:sz="4" w:space="0" w:color="FFFFFF"/>
              <w:left w:val="single" w:sz="4" w:space="0" w:color="FFFFFF"/>
              <w:bottom w:val="nil"/>
              <w:right w:val="single" w:sz="4" w:space="0" w:color="FFFFFF"/>
            </w:tcBorders>
            <w:shd w:val="clear" w:color="B8CCE4" w:fill="B8CCE4"/>
            <w:noWrap/>
            <w:vAlign w:val="bottom"/>
            <w:hideMark/>
          </w:tcPr>
          <w:p w14:paraId="3150D07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42000</w:t>
            </w:r>
          </w:p>
        </w:tc>
        <w:tc>
          <w:tcPr>
            <w:tcW w:w="1296" w:type="dxa"/>
            <w:tcBorders>
              <w:top w:val="single" w:sz="4" w:space="0" w:color="FFFFFF"/>
              <w:left w:val="single" w:sz="4" w:space="0" w:color="FFFFFF"/>
              <w:bottom w:val="nil"/>
              <w:right w:val="single" w:sz="4" w:space="0" w:color="FFFFFF"/>
            </w:tcBorders>
            <w:shd w:val="clear" w:color="B8CCE4" w:fill="B8CCE4"/>
            <w:noWrap/>
            <w:vAlign w:val="bottom"/>
            <w:hideMark/>
          </w:tcPr>
          <w:p w14:paraId="045B64A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43000</w:t>
            </w:r>
          </w:p>
        </w:tc>
        <w:tc>
          <w:tcPr>
            <w:tcW w:w="1296" w:type="dxa"/>
            <w:tcBorders>
              <w:top w:val="single" w:sz="4" w:space="0" w:color="FFFFFF"/>
              <w:left w:val="single" w:sz="4" w:space="0" w:color="FFFFFF"/>
              <w:bottom w:val="nil"/>
              <w:right w:val="single" w:sz="4" w:space="0" w:color="FFFFFF"/>
            </w:tcBorders>
            <w:shd w:val="clear" w:color="B8CCE4" w:fill="B8CCE4"/>
            <w:noWrap/>
            <w:vAlign w:val="bottom"/>
            <w:hideMark/>
          </w:tcPr>
          <w:p w14:paraId="4130AC8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4000</w:t>
            </w:r>
          </w:p>
        </w:tc>
        <w:tc>
          <w:tcPr>
            <w:tcW w:w="1296" w:type="dxa"/>
            <w:tcBorders>
              <w:top w:val="single" w:sz="4" w:space="0" w:color="FFFFFF"/>
              <w:left w:val="single" w:sz="4" w:space="0" w:color="FFFFFF"/>
              <w:bottom w:val="nil"/>
              <w:right w:val="nil"/>
            </w:tcBorders>
            <w:shd w:val="clear" w:color="B8CCE4" w:fill="B8CCE4"/>
            <w:noWrap/>
            <w:vAlign w:val="bottom"/>
            <w:hideMark/>
          </w:tcPr>
          <w:p w14:paraId="0356FBA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6000</w:t>
            </w:r>
          </w:p>
        </w:tc>
      </w:tr>
    </w:tbl>
    <w:p w14:paraId="405C7DC3" w14:textId="3FD0AE2B" w:rsidR="00515718" w:rsidRDefault="00515718" w:rsidP="0084121B">
      <w:pPr>
        <w:shd w:val="clear" w:color="auto" w:fill="FFFFFF"/>
        <w:spacing w:line="480" w:lineRule="auto"/>
        <w:ind w:hanging="330"/>
        <w:rPr>
          <w:rFonts w:ascii="Times New Roman" w:eastAsia="Times New Roman" w:hAnsi="Times New Roman" w:cs="Times New Roman"/>
          <w:color w:val="333333"/>
          <w:sz w:val="24"/>
          <w:szCs w:val="24"/>
        </w:rPr>
      </w:pPr>
    </w:p>
    <w:tbl>
      <w:tblPr>
        <w:tblW w:w="9360" w:type="dxa"/>
        <w:tblLayout w:type="fixed"/>
        <w:tblLook w:val="04A0" w:firstRow="1" w:lastRow="0" w:firstColumn="1" w:lastColumn="0" w:noHBand="0" w:noVBand="1"/>
      </w:tblPr>
      <w:tblGrid>
        <w:gridCol w:w="2880"/>
        <w:gridCol w:w="1296"/>
        <w:gridCol w:w="1296"/>
        <w:gridCol w:w="1296"/>
        <w:gridCol w:w="1296"/>
        <w:gridCol w:w="1296"/>
      </w:tblGrid>
      <w:tr w:rsidR="00515718" w:rsidRPr="00515718" w14:paraId="78684EAA" w14:textId="77777777" w:rsidTr="00250DA5">
        <w:trPr>
          <w:trHeight w:val="405"/>
        </w:trPr>
        <w:tc>
          <w:tcPr>
            <w:tcW w:w="2880" w:type="dxa"/>
            <w:tcBorders>
              <w:top w:val="nil"/>
              <w:left w:val="nil"/>
              <w:bottom w:val="single" w:sz="12" w:space="0" w:color="4F81BD"/>
              <w:right w:val="nil"/>
            </w:tcBorders>
            <w:shd w:val="clear" w:color="000000" w:fill="B8CCE4"/>
            <w:noWrap/>
            <w:vAlign w:val="bottom"/>
            <w:hideMark/>
          </w:tcPr>
          <w:p w14:paraId="4EB798EF" w14:textId="77777777" w:rsidR="00515718" w:rsidRPr="00515718" w:rsidRDefault="00515718" w:rsidP="00515718">
            <w:pPr>
              <w:spacing w:after="0" w:line="240" w:lineRule="auto"/>
              <w:rPr>
                <w:rFonts w:ascii="Calibri" w:eastAsia="Times New Roman" w:hAnsi="Calibri" w:cs="Calibri"/>
                <w:b/>
                <w:bCs/>
                <w:color w:val="1F497D"/>
                <w:sz w:val="24"/>
                <w:szCs w:val="24"/>
              </w:rPr>
            </w:pPr>
            <w:r w:rsidRPr="00515718">
              <w:rPr>
                <w:rFonts w:ascii="Calibri" w:eastAsia="Times New Roman" w:hAnsi="Calibri" w:cs="Calibri"/>
                <w:b/>
                <w:bCs/>
                <w:color w:val="1F497D"/>
                <w:sz w:val="24"/>
                <w:szCs w:val="24"/>
              </w:rPr>
              <w:t>Appendix E</w:t>
            </w:r>
          </w:p>
        </w:tc>
        <w:tc>
          <w:tcPr>
            <w:tcW w:w="6480" w:type="dxa"/>
            <w:gridSpan w:val="5"/>
            <w:tcBorders>
              <w:top w:val="nil"/>
              <w:left w:val="nil"/>
              <w:bottom w:val="single" w:sz="12" w:space="0" w:color="4F81BD"/>
              <w:right w:val="nil"/>
            </w:tcBorders>
            <w:shd w:val="clear" w:color="000000" w:fill="B8CCE4"/>
            <w:hideMark/>
          </w:tcPr>
          <w:p w14:paraId="7472EFD9" w14:textId="77777777" w:rsidR="00515718" w:rsidRPr="00515718" w:rsidRDefault="00515718" w:rsidP="00515718">
            <w:pPr>
              <w:spacing w:after="0" w:line="240" w:lineRule="auto"/>
              <w:jc w:val="center"/>
              <w:rPr>
                <w:rFonts w:ascii="Calibri" w:eastAsia="Times New Roman" w:hAnsi="Calibri" w:cs="Calibri"/>
                <w:b/>
                <w:bCs/>
                <w:color w:val="1F497D"/>
                <w:sz w:val="30"/>
                <w:szCs w:val="30"/>
              </w:rPr>
            </w:pPr>
            <w:r w:rsidRPr="00515718">
              <w:rPr>
                <w:rFonts w:ascii="Calibri" w:eastAsia="Times New Roman" w:hAnsi="Calibri" w:cs="Calibri"/>
                <w:b/>
                <w:bCs/>
                <w:color w:val="1F497D"/>
                <w:sz w:val="30"/>
                <w:szCs w:val="30"/>
              </w:rPr>
              <w:t xml:space="preserve">Activision Blizzard - Annual Cash Flow </w:t>
            </w:r>
          </w:p>
        </w:tc>
      </w:tr>
      <w:tr w:rsidR="00515718" w:rsidRPr="00515718" w14:paraId="6FF46B23" w14:textId="77777777" w:rsidTr="00250DA5">
        <w:trPr>
          <w:trHeight w:val="270"/>
        </w:trPr>
        <w:tc>
          <w:tcPr>
            <w:tcW w:w="2880" w:type="dxa"/>
            <w:tcBorders>
              <w:top w:val="nil"/>
              <w:left w:val="nil"/>
              <w:bottom w:val="single" w:sz="12" w:space="0" w:color="FFFFFF"/>
              <w:right w:val="single" w:sz="4" w:space="0" w:color="FFFFFF"/>
            </w:tcBorders>
            <w:shd w:val="clear" w:color="4F81BD" w:fill="4F81BD"/>
            <w:hideMark/>
          </w:tcPr>
          <w:p w14:paraId="549ED342"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 xml:space="preserve"> </w:t>
            </w:r>
          </w:p>
        </w:tc>
        <w:tc>
          <w:tcPr>
            <w:tcW w:w="1296" w:type="dxa"/>
            <w:tcBorders>
              <w:top w:val="nil"/>
              <w:left w:val="single" w:sz="4" w:space="0" w:color="FFFFFF"/>
              <w:bottom w:val="single" w:sz="12" w:space="0" w:color="FFFFFF"/>
              <w:right w:val="single" w:sz="4" w:space="0" w:color="FFFFFF"/>
            </w:tcBorders>
            <w:shd w:val="clear" w:color="4F81BD" w:fill="4F81BD"/>
            <w:noWrap/>
            <w:vAlign w:val="bottom"/>
            <w:hideMark/>
          </w:tcPr>
          <w:p w14:paraId="6C1B5C6C"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2019</w:t>
            </w:r>
          </w:p>
        </w:tc>
        <w:tc>
          <w:tcPr>
            <w:tcW w:w="1296" w:type="dxa"/>
            <w:tcBorders>
              <w:top w:val="nil"/>
              <w:left w:val="single" w:sz="4" w:space="0" w:color="FFFFFF"/>
              <w:bottom w:val="single" w:sz="12" w:space="0" w:color="FFFFFF"/>
              <w:right w:val="single" w:sz="4" w:space="0" w:color="FFFFFF"/>
            </w:tcBorders>
            <w:shd w:val="clear" w:color="4F81BD" w:fill="4F81BD"/>
            <w:noWrap/>
            <w:vAlign w:val="bottom"/>
            <w:hideMark/>
          </w:tcPr>
          <w:p w14:paraId="70B58614"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2018</w:t>
            </w:r>
          </w:p>
        </w:tc>
        <w:tc>
          <w:tcPr>
            <w:tcW w:w="1296" w:type="dxa"/>
            <w:tcBorders>
              <w:top w:val="nil"/>
              <w:left w:val="single" w:sz="4" w:space="0" w:color="FFFFFF"/>
              <w:bottom w:val="single" w:sz="12" w:space="0" w:color="FFFFFF"/>
              <w:right w:val="single" w:sz="4" w:space="0" w:color="FFFFFF"/>
            </w:tcBorders>
            <w:shd w:val="clear" w:color="4F81BD" w:fill="4F81BD"/>
            <w:noWrap/>
            <w:vAlign w:val="bottom"/>
            <w:hideMark/>
          </w:tcPr>
          <w:p w14:paraId="7EE5AE5D"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2017</w:t>
            </w:r>
          </w:p>
        </w:tc>
        <w:tc>
          <w:tcPr>
            <w:tcW w:w="1296" w:type="dxa"/>
            <w:tcBorders>
              <w:top w:val="nil"/>
              <w:left w:val="single" w:sz="4" w:space="0" w:color="FFFFFF"/>
              <w:bottom w:val="single" w:sz="12" w:space="0" w:color="FFFFFF"/>
              <w:right w:val="single" w:sz="4" w:space="0" w:color="FFFFFF"/>
            </w:tcBorders>
            <w:shd w:val="clear" w:color="4F81BD" w:fill="4F81BD"/>
            <w:noWrap/>
            <w:vAlign w:val="bottom"/>
            <w:hideMark/>
          </w:tcPr>
          <w:p w14:paraId="4C5F24CA"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2016</w:t>
            </w:r>
          </w:p>
        </w:tc>
        <w:tc>
          <w:tcPr>
            <w:tcW w:w="1296" w:type="dxa"/>
            <w:tcBorders>
              <w:top w:val="nil"/>
              <w:left w:val="single" w:sz="4" w:space="0" w:color="FFFFFF"/>
              <w:bottom w:val="single" w:sz="12" w:space="0" w:color="FFFFFF"/>
              <w:right w:val="nil"/>
            </w:tcBorders>
            <w:shd w:val="clear" w:color="4F81BD" w:fill="4F81BD"/>
            <w:noWrap/>
            <w:vAlign w:val="bottom"/>
            <w:hideMark/>
          </w:tcPr>
          <w:p w14:paraId="79132EB9"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2015</w:t>
            </w:r>
          </w:p>
        </w:tc>
      </w:tr>
      <w:tr w:rsidR="00515718" w:rsidRPr="00515718" w14:paraId="04F0FA9F"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EBF085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Net income (loss)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AFB75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1503000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1A48B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1813000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6598A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273000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9F4E7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966000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292CDE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892000</w:t>
            </w:r>
          </w:p>
        </w:tc>
      </w:tr>
      <w:tr w:rsidR="00515718" w:rsidRPr="00515718" w14:paraId="2418573D"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BCB5D23"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Deferred income taxes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C0C41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-352000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30291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A4EC5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0B73B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761F59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-27000</w:t>
            </w:r>
          </w:p>
        </w:tc>
      </w:tr>
      <w:tr w:rsidR="00515718" w:rsidRPr="00515718" w14:paraId="71B8D397"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54D77269"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Provision for inventories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4D094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69A82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65E02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55F4B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42000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59AE11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43000</w:t>
            </w:r>
          </w:p>
        </w:tc>
      </w:tr>
      <w:tr w:rsidR="00515718" w:rsidRPr="00515718" w14:paraId="39D2CC0F"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5A9A2B36"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Non-cash operating lease cost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788B0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7BB37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A1919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5BE74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FC4BEA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35EB4286"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66EB28B3"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Depreciation &amp; amortization</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853F4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328000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D9885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509000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5073F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888000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7E401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829000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F6EBA3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95000</w:t>
            </w:r>
          </w:p>
        </w:tc>
      </w:tr>
      <w:tr w:rsidR="00515718" w:rsidRPr="00515718" w14:paraId="4A628AEB"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1D63E766"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Amortization of capitalized software development costs &amp; intellectual property licenses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B0E9E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0B19F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489000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EEFB2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311000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2607B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321000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303F88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399000</w:t>
            </w:r>
          </w:p>
        </w:tc>
      </w:tr>
      <w:tr w:rsidR="00515718" w:rsidRPr="00515718" w14:paraId="2F5290B8"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41782979"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Loss on extinguishment of debt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DBD81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FE52C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BAADB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A7A81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2E7527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531A5AA2"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D86AA6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Premium payment for early redemption of notes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43F6C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5FF7F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B8318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51938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63000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5957E4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0CC5F6F7"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3513E7D2"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Amortization of debt discount, financing costs, &amp; non-cash write-off due to extinguishment of debts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B13D8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914C0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1DFA3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15C64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563B28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0AFB2FC0"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1A01236"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Amortization of debt discount &amp; financing costs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E7691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B7C8D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A1858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8C4B3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D2E0ED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7000</w:t>
            </w:r>
          </w:p>
        </w:tc>
      </w:tr>
      <w:tr w:rsidR="00515718" w:rsidRPr="00515718" w14:paraId="4EEE8629"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61637CFA"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Share-based compensation expense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BE690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166000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D14BB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51F76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8D216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147000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F47575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92000</w:t>
            </w:r>
          </w:p>
        </w:tc>
      </w:tr>
      <w:tr w:rsidR="00515718" w:rsidRPr="00515718" w14:paraId="1AD44DD7"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F9DBFC4"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Unrealized loss (gain) on equity investment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D2991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4908B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E00EC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A3A7E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66D514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59132AC6"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5DBAEF4B"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Excess tax benefits from stock awards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7B074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D42D3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D7E78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D92D2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6A73E7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-67000</w:t>
            </w:r>
          </w:p>
        </w:tc>
      </w:tr>
      <w:tr w:rsidR="00515718" w:rsidRPr="00515718" w14:paraId="405A6D2C"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4F5CD0D6"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Other adjustments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C4729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6CE45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7FF2F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99752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E31320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5BCBF100"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681B1769"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Accounts receivable, net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5DFC9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B0512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26EBD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-165000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333FD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84000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A24408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-40000</w:t>
            </w:r>
          </w:p>
        </w:tc>
      </w:tr>
      <w:tr w:rsidR="00515718" w:rsidRPr="00515718" w14:paraId="33E11412"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9E98051"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Inventories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EC6BC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F0A98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A3BAB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3FCEB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32000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6E9013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-54000</w:t>
            </w:r>
          </w:p>
        </w:tc>
      </w:tr>
      <w:tr w:rsidR="00515718" w:rsidRPr="00515718" w14:paraId="0D6733D5"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5CCBCF18"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Software development &amp; intellectual property licenses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D4B12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-275000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9C4C9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-372000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33955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-301000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F461C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-362000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D57D3D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-350000</w:t>
            </w:r>
          </w:p>
        </w:tc>
      </w:tr>
      <w:tr w:rsidR="00515718" w:rsidRPr="00515718" w14:paraId="3DDBD126"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4B3C197E"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Other assets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AAC99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164000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03B4D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3E5F6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DF839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BC8B53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21000</w:t>
            </w:r>
          </w:p>
        </w:tc>
      </w:tr>
      <w:tr w:rsidR="00515718" w:rsidRPr="00515718" w14:paraId="55C9106F"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34F3690F"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Deferred revenues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123E8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F50E2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-122000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2D54B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18138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-35000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FB1DF1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-27000</w:t>
            </w:r>
          </w:p>
        </w:tc>
      </w:tr>
      <w:tr w:rsidR="00515718" w:rsidRPr="00515718" w14:paraId="7DBA2B30"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1D88554F"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Accounts payable</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3D692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F7D28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53C12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26060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-50000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BC1327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-25000</w:t>
            </w:r>
          </w:p>
        </w:tc>
      </w:tr>
      <w:tr w:rsidR="00515718" w:rsidRPr="00515718" w14:paraId="5B14636A"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6A17CB78"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Accrued expenses &amp; other liabilities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E59E5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F7A6E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-574000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CBA49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945000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76348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FCA330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233000</w:t>
            </w:r>
          </w:p>
        </w:tc>
      </w:tr>
      <w:tr w:rsidR="00515718" w:rsidRPr="00515718" w14:paraId="04398DAD"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836CB79"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Net cash flows from operating activities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28C55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1831000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28438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1790000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B425A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2213000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146E2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2155000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3D3824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1192000</w:t>
            </w:r>
          </w:p>
        </w:tc>
      </w:tr>
      <w:tr w:rsidR="00515718" w:rsidRPr="00515718" w14:paraId="130CF6C3"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EFCDBF2"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lastRenderedPageBreak/>
              <w:t>Proceeds from maturities of available-for-sale investments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8EB24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5AF03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BE495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0F926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3C6F409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145000</w:t>
            </w:r>
          </w:p>
        </w:tc>
      </w:tr>
      <w:tr w:rsidR="00515718" w:rsidRPr="00515718" w14:paraId="2E5C8CC3"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3634285"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Purchases of available-for-sale investments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FBE48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7BAEF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F521D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-135000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1FE76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4BFC6FD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-145000</w:t>
            </w:r>
          </w:p>
        </w:tc>
      </w:tr>
      <w:tr w:rsidR="00515718" w:rsidRPr="00515718" w14:paraId="2C54EFBF"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F90EB02"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Acquisition of business, net of cash acquired</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94813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2E24D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487B1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A5F3A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-4588000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281E5A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-46000</w:t>
            </w:r>
          </w:p>
        </w:tc>
      </w:tr>
      <w:tr w:rsidR="00515718" w:rsidRPr="00515718" w14:paraId="2F72D567"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517E3A51"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Release (deposit) of cash in escrow</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901DA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CE5C8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C1286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388E9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3561000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DC37BD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-3561000</w:t>
            </w:r>
          </w:p>
        </w:tc>
      </w:tr>
      <w:tr w:rsidR="00515718" w:rsidRPr="00515718" w14:paraId="6E9C1743"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6371924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Capital expenditures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05A10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FF97A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6ADE0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D3A68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1A76A0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-111000</w:t>
            </w:r>
          </w:p>
        </w:tc>
      </w:tr>
      <w:tr w:rsidR="00515718" w:rsidRPr="00515718" w14:paraId="24716557"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5355B6D"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Decrease (increase) in restricted cash</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0148A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4C0ED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E263D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1BF94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B36128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2000</w:t>
            </w:r>
          </w:p>
        </w:tc>
      </w:tr>
      <w:tr w:rsidR="00515718" w:rsidRPr="00515718" w14:paraId="498998E4"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2D497919"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Other investing activities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B77A4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DB4A4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BDD7D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0D4C2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12F959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40F084C3"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EBB4C1A"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Net cash flows from investing activities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63632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DFA39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-230000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948CB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-197000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E6F15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-1177000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AC48A0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-3716000</w:t>
            </w:r>
          </w:p>
        </w:tc>
      </w:tr>
      <w:tr w:rsidR="00515718" w:rsidRPr="00515718" w14:paraId="5CDC67CC"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6622129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Proceeds from issuance of common stock to employees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301E5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08061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DF1D3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71886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106000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178B7A3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106000</w:t>
            </w:r>
          </w:p>
        </w:tc>
      </w:tr>
      <w:tr w:rsidR="00515718" w:rsidRPr="00515718" w14:paraId="1D056CB6"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E86D275"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Tax payment related to net share settlements on restricted stock units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4481B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30E73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-94000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237A2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1315F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-115000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A3DB99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-83000</w:t>
            </w:r>
          </w:p>
        </w:tc>
      </w:tr>
      <w:tr w:rsidR="00515718" w:rsidRPr="00515718" w14:paraId="1A122EC7"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42844F3"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Dividends paid</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EA1F6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-283000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C2A4E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3C210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CB187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-195000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7076D68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-170000</w:t>
            </w:r>
          </w:p>
        </w:tc>
      </w:tr>
      <w:tr w:rsidR="00515718" w:rsidRPr="00515718" w14:paraId="4415E860"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4699417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Excess tax benefits from stock awards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713C6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275B3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E41DD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5A591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6180F7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67000</w:t>
            </w:r>
          </w:p>
        </w:tc>
      </w:tr>
      <w:tr w:rsidR="00515718" w:rsidRPr="00515718" w14:paraId="5864D1FB"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178081CB"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Proceeds from debt issuances, net of discounts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00173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86B9D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93934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3741000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8579C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6878000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49DE4F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385C29D8"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2ED8819F"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Repayment of long-term debt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F178C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B2E66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-1740000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3D9FD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-4251000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28B05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-6104000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5D02329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-250000</w:t>
            </w:r>
          </w:p>
        </w:tc>
      </w:tr>
      <w:tr w:rsidR="00515718" w:rsidRPr="00515718" w14:paraId="2416F25D"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42BE0C86"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Premium payment for early redemption of note</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F34E5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113B6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2058B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F8928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61A901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15693927"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1F5CA71D"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Debt financing costs related to debt issuances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83C86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ABA1C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696BD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5BD5B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76221AC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-7000</w:t>
            </w:r>
          </w:p>
        </w:tc>
      </w:tr>
      <w:tr w:rsidR="00515718" w:rsidRPr="00515718" w14:paraId="46818E72"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0C25B53"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Proceeds received from shareholder settlement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361D9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19608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97FA7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70C3F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241B4DB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202000</w:t>
            </w:r>
          </w:p>
        </w:tc>
      </w:tr>
      <w:tr w:rsidR="00515718" w:rsidRPr="00515718" w14:paraId="775ED372"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734275E4"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Other financing activities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B19AC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8C5E6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0E442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5A330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0863CA9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30F18809"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BE2B42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Net cash flows from financing activities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25F9D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-237000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EE4D0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-2020000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0DC78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-624000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AD6D6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500000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A4AC19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-135000</w:t>
            </w:r>
          </w:p>
        </w:tc>
      </w:tr>
      <w:tr w:rsidR="00515718" w:rsidRPr="00515718" w14:paraId="7EC56013"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CFC945E"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Effect of foreign exchange rate changes on cash &amp; cash equivalents</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D49E7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D0C7B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89F0E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76000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EB7D5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-56000</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6A34985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-366000</w:t>
            </w:r>
          </w:p>
        </w:tc>
      </w:tr>
      <w:tr w:rsidR="00515718" w:rsidRPr="00515718" w14:paraId="3A17B681"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503BF9F"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Net increase (decrease) in cash &amp; cash equivalents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DB276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828E6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9CE66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1468000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40862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1422000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4466E2C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-3025000</w:t>
            </w:r>
          </w:p>
        </w:tc>
      </w:tr>
      <w:tr w:rsidR="00515718" w:rsidRPr="00515718" w14:paraId="32A8478D"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3AC13926"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Net increase (decrease) in cash &amp; cash equivalents &amp; restricted cash</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BA28D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1569000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BCB4B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-491000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6E963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84C66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3CBCD0E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734CC9B2"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7CCDC72F"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Cash &amp; cash equivalents at beginning of period</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5F438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AF13D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9A2CE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3245000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B95A0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1823000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63C0B78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4848000</w:t>
            </w:r>
          </w:p>
        </w:tc>
      </w:tr>
      <w:tr w:rsidR="00515718" w:rsidRPr="00515718" w14:paraId="2124563F"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63E298D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Cash &amp; cash equivalents &amp; restricted cash at beginning of period</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0E4E9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4229000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E9D29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4720000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3FEB1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2B29E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24F3342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2A1F4403"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0A0D6A75"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Cash &amp; cash equivalents at end of period</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B9CD7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0D1D1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21A55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4713000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CFE37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3245000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03568B0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1823000</w:t>
            </w:r>
          </w:p>
        </w:tc>
      </w:tr>
      <w:tr w:rsidR="00515718" w:rsidRPr="00515718" w14:paraId="5267076B"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DCE6F1" w:fill="DCE6F1"/>
            <w:vAlign w:val="bottom"/>
            <w:hideMark/>
          </w:tcPr>
          <w:p w14:paraId="0C80E5BC"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Cash &amp; cash equivalents &amp; restricted cash at end of period</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FA0B1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5798000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87D76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4229000</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6076A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B4700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c>
          <w:tcPr>
            <w:tcW w:w="1296" w:type="dxa"/>
            <w:tcBorders>
              <w:top w:val="single" w:sz="4" w:space="0" w:color="FFFFFF"/>
              <w:left w:val="single" w:sz="4" w:space="0" w:color="FFFFFF"/>
              <w:bottom w:val="single" w:sz="4" w:space="0" w:color="FFFFFF"/>
              <w:right w:val="nil"/>
            </w:tcBorders>
            <w:shd w:val="clear" w:color="DCE6F1" w:fill="DCE6F1"/>
            <w:noWrap/>
            <w:vAlign w:val="bottom"/>
            <w:hideMark/>
          </w:tcPr>
          <w:p w14:paraId="143BBA4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w:t>
            </w:r>
          </w:p>
        </w:tc>
      </w:tr>
      <w:tr w:rsidR="00515718" w:rsidRPr="00515718" w14:paraId="01A14467" w14:textId="77777777" w:rsidTr="00250DA5">
        <w:trPr>
          <w:trHeight w:val="259"/>
        </w:trPr>
        <w:tc>
          <w:tcPr>
            <w:tcW w:w="2880" w:type="dxa"/>
            <w:tcBorders>
              <w:top w:val="single" w:sz="4" w:space="0" w:color="FFFFFF"/>
              <w:left w:val="nil"/>
              <w:bottom w:val="single" w:sz="4" w:space="0" w:color="FFFFFF"/>
              <w:right w:val="single" w:sz="4" w:space="0" w:color="FFFFFF"/>
            </w:tcBorders>
            <w:shd w:val="clear" w:color="B8CCE4" w:fill="B8CCE4"/>
            <w:vAlign w:val="bottom"/>
            <w:hideMark/>
          </w:tcPr>
          <w:p w14:paraId="55947FD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Cash paid for income taxes, net of refunds</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F9517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319000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B8285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560000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EF613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176000</w:t>
            </w:r>
          </w:p>
        </w:tc>
        <w:tc>
          <w:tcPr>
            <w:tcW w:w="129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71B19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121000</w:t>
            </w:r>
          </w:p>
        </w:tc>
        <w:tc>
          <w:tcPr>
            <w:tcW w:w="1296" w:type="dxa"/>
            <w:tcBorders>
              <w:top w:val="single" w:sz="4" w:space="0" w:color="FFFFFF"/>
              <w:left w:val="single" w:sz="4" w:space="0" w:color="FFFFFF"/>
              <w:bottom w:val="single" w:sz="4" w:space="0" w:color="FFFFFF"/>
              <w:right w:val="nil"/>
            </w:tcBorders>
            <w:shd w:val="clear" w:color="B8CCE4" w:fill="B8CCE4"/>
            <w:noWrap/>
            <w:vAlign w:val="bottom"/>
            <w:hideMark/>
          </w:tcPr>
          <w:p w14:paraId="50B66DD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20000</w:t>
            </w:r>
          </w:p>
        </w:tc>
      </w:tr>
      <w:tr w:rsidR="00515718" w:rsidRPr="00515718" w14:paraId="42B766F4" w14:textId="77777777" w:rsidTr="00250DA5">
        <w:trPr>
          <w:trHeight w:val="259"/>
        </w:trPr>
        <w:tc>
          <w:tcPr>
            <w:tcW w:w="2880" w:type="dxa"/>
            <w:tcBorders>
              <w:top w:val="single" w:sz="4" w:space="0" w:color="FFFFFF"/>
              <w:left w:val="nil"/>
              <w:bottom w:val="nil"/>
              <w:right w:val="single" w:sz="4" w:space="0" w:color="FFFFFF"/>
            </w:tcBorders>
            <w:shd w:val="clear" w:color="DCE6F1" w:fill="DCE6F1"/>
            <w:vAlign w:val="bottom"/>
            <w:hideMark/>
          </w:tcPr>
          <w:p w14:paraId="22C9CEBB"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lastRenderedPageBreak/>
              <w:t>Cash paid for interest</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330C8EF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86000</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03D54D1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150000</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28FB6C1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145000</w:t>
            </w:r>
          </w:p>
        </w:tc>
        <w:tc>
          <w:tcPr>
            <w:tcW w:w="1296" w:type="dxa"/>
            <w:tcBorders>
              <w:top w:val="single" w:sz="4" w:space="0" w:color="FFFFFF"/>
              <w:left w:val="single" w:sz="4" w:space="0" w:color="FFFFFF"/>
              <w:bottom w:val="nil"/>
              <w:right w:val="single" w:sz="4" w:space="0" w:color="FFFFFF"/>
            </w:tcBorders>
            <w:shd w:val="clear" w:color="DCE6F1" w:fill="DCE6F1"/>
            <w:noWrap/>
            <w:vAlign w:val="bottom"/>
            <w:hideMark/>
          </w:tcPr>
          <w:p w14:paraId="506FADA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209000</w:t>
            </w:r>
          </w:p>
        </w:tc>
        <w:tc>
          <w:tcPr>
            <w:tcW w:w="1296" w:type="dxa"/>
            <w:tcBorders>
              <w:top w:val="single" w:sz="4" w:space="0" w:color="FFFFFF"/>
              <w:left w:val="single" w:sz="4" w:space="0" w:color="FFFFFF"/>
              <w:bottom w:val="nil"/>
              <w:right w:val="nil"/>
            </w:tcBorders>
            <w:shd w:val="clear" w:color="DCE6F1" w:fill="DCE6F1"/>
            <w:noWrap/>
            <w:vAlign w:val="bottom"/>
            <w:hideMark/>
          </w:tcPr>
          <w:p w14:paraId="6765AD5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193000</w:t>
            </w:r>
          </w:p>
        </w:tc>
      </w:tr>
    </w:tbl>
    <w:p w14:paraId="43B6709A" w14:textId="25D18279" w:rsidR="00515718" w:rsidRDefault="00515718" w:rsidP="0084121B">
      <w:pPr>
        <w:shd w:val="clear" w:color="auto" w:fill="FFFFFF"/>
        <w:spacing w:line="480" w:lineRule="auto"/>
        <w:ind w:hanging="330"/>
        <w:rPr>
          <w:rFonts w:ascii="Times New Roman" w:eastAsia="Times New Roman" w:hAnsi="Times New Roman" w:cs="Times New Roman"/>
          <w:color w:val="333333"/>
          <w:sz w:val="24"/>
          <w:szCs w:val="24"/>
        </w:rPr>
      </w:pPr>
    </w:p>
    <w:p w14:paraId="5201EDEA"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2F111CCD"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3E8AA270"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678684D7"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2EA32A5C"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449CE7BC"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5272E8BE"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1D57ABE0"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4769649A"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31453293"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46B207F2"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36E7A0E3"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6F13F35D"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6B6C1AE3"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2D506A15"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01026599"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54005A60" w14:textId="77777777" w:rsidR="00250DA5" w:rsidRDefault="00250DA5" w:rsidP="0084121B">
      <w:pPr>
        <w:shd w:val="clear" w:color="auto" w:fill="FFFFFF"/>
        <w:spacing w:line="480" w:lineRule="auto"/>
        <w:ind w:hanging="330"/>
        <w:rPr>
          <w:rFonts w:ascii="Times New Roman" w:eastAsia="Times New Roman" w:hAnsi="Times New Roman" w:cs="Times New Roman"/>
          <w:color w:val="333333"/>
          <w:sz w:val="24"/>
          <w:szCs w:val="24"/>
        </w:rPr>
      </w:pPr>
    </w:p>
    <w:p w14:paraId="2C97ECC5" w14:textId="500FE288" w:rsidR="00250DA5" w:rsidRPr="00250DA5" w:rsidRDefault="00250DA5" w:rsidP="00250DA5">
      <w:pPr>
        <w:pStyle w:val="Heading1"/>
        <w:spacing w:line="480" w:lineRule="auto"/>
        <w:jc w:val="center"/>
        <w:rPr>
          <w:rFonts w:ascii="Times New Roman" w:eastAsia="Times New Roman" w:hAnsi="Times New Roman" w:cs="Times New Roman"/>
          <w:color w:val="auto"/>
          <w:sz w:val="24"/>
          <w:szCs w:val="24"/>
          <w:u w:val="single"/>
        </w:rPr>
      </w:pPr>
      <w:r w:rsidRPr="00250DA5">
        <w:rPr>
          <w:rFonts w:ascii="Times New Roman" w:eastAsia="Times New Roman" w:hAnsi="Times New Roman" w:cs="Times New Roman"/>
          <w:color w:val="auto"/>
          <w:sz w:val="24"/>
          <w:szCs w:val="24"/>
        </w:rPr>
        <w:lastRenderedPageBreak/>
        <w:t>Appendix</w:t>
      </w:r>
      <w:r>
        <w:rPr>
          <w:rFonts w:ascii="Times New Roman" w:eastAsia="Times New Roman" w:hAnsi="Times New Roman" w:cs="Times New Roman"/>
          <w:color w:val="auto"/>
          <w:sz w:val="24"/>
          <w:szCs w:val="24"/>
        </w:rPr>
        <w:t xml:space="preserve"> F</w:t>
      </w:r>
    </w:p>
    <w:tbl>
      <w:tblPr>
        <w:tblW w:w="9360" w:type="dxa"/>
        <w:tblLook w:val="04A0" w:firstRow="1" w:lastRow="0" w:firstColumn="1" w:lastColumn="0" w:noHBand="0" w:noVBand="1"/>
      </w:tblPr>
      <w:tblGrid>
        <w:gridCol w:w="1440"/>
        <w:gridCol w:w="1584"/>
        <w:gridCol w:w="1584"/>
        <w:gridCol w:w="1584"/>
        <w:gridCol w:w="1584"/>
        <w:gridCol w:w="1584"/>
      </w:tblGrid>
      <w:tr w:rsidR="00515718" w:rsidRPr="00515718" w14:paraId="1BA734F4" w14:textId="77777777" w:rsidTr="00515718">
        <w:trPr>
          <w:trHeight w:val="259"/>
        </w:trPr>
        <w:tc>
          <w:tcPr>
            <w:tcW w:w="1440" w:type="dxa"/>
            <w:tcBorders>
              <w:top w:val="nil"/>
              <w:left w:val="nil"/>
              <w:bottom w:val="single" w:sz="12" w:space="0" w:color="4F81BD"/>
              <w:right w:val="nil"/>
            </w:tcBorders>
            <w:shd w:val="clear" w:color="000000" w:fill="B8CCE4"/>
            <w:noWrap/>
            <w:vAlign w:val="bottom"/>
            <w:hideMark/>
          </w:tcPr>
          <w:p w14:paraId="0C459AAC" w14:textId="77777777" w:rsidR="00515718" w:rsidRPr="00515718" w:rsidRDefault="00515718" w:rsidP="00515718">
            <w:pPr>
              <w:spacing w:after="0" w:line="240" w:lineRule="auto"/>
              <w:rPr>
                <w:rFonts w:ascii="Calibri" w:eastAsia="Times New Roman" w:hAnsi="Calibri" w:cs="Calibri"/>
                <w:b/>
                <w:bCs/>
                <w:color w:val="1F497D"/>
                <w:sz w:val="24"/>
                <w:szCs w:val="24"/>
              </w:rPr>
            </w:pPr>
            <w:r w:rsidRPr="00515718">
              <w:rPr>
                <w:rFonts w:ascii="Calibri" w:eastAsia="Times New Roman" w:hAnsi="Calibri" w:cs="Calibri"/>
                <w:b/>
                <w:bCs/>
                <w:color w:val="1F497D"/>
                <w:sz w:val="24"/>
                <w:szCs w:val="24"/>
              </w:rPr>
              <w:t>Appendix F</w:t>
            </w:r>
          </w:p>
        </w:tc>
        <w:tc>
          <w:tcPr>
            <w:tcW w:w="7920" w:type="dxa"/>
            <w:gridSpan w:val="5"/>
            <w:tcBorders>
              <w:top w:val="nil"/>
              <w:left w:val="nil"/>
              <w:bottom w:val="single" w:sz="12" w:space="0" w:color="4F81BD"/>
              <w:right w:val="nil"/>
            </w:tcBorders>
            <w:shd w:val="clear" w:color="000000" w:fill="B8CCE4"/>
            <w:noWrap/>
            <w:vAlign w:val="bottom"/>
            <w:hideMark/>
          </w:tcPr>
          <w:p w14:paraId="654B7A7F" w14:textId="77777777" w:rsidR="00515718" w:rsidRPr="00515718" w:rsidRDefault="00515718" w:rsidP="00515718">
            <w:pPr>
              <w:spacing w:after="0" w:line="240" w:lineRule="auto"/>
              <w:jc w:val="center"/>
              <w:rPr>
                <w:rFonts w:ascii="Calibri" w:eastAsia="Times New Roman" w:hAnsi="Calibri" w:cs="Calibri"/>
                <w:b/>
                <w:bCs/>
                <w:color w:val="1F497D"/>
                <w:sz w:val="30"/>
                <w:szCs w:val="30"/>
              </w:rPr>
            </w:pPr>
            <w:r w:rsidRPr="00515718">
              <w:rPr>
                <w:rFonts w:ascii="Calibri" w:eastAsia="Times New Roman" w:hAnsi="Calibri" w:cs="Calibri"/>
                <w:b/>
                <w:bCs/>
                <w:color w:val="1F497D"/>
                <w:sz w:val="30"/>
                <w:szCs w:val="30"/>
              </w:rPr>
              <w:t>Electronic Arts - Financial Ratios</w:t>
            </w:r>
          </w:p>
        </w:tc>
      </w:tr>
      <w:tr w:rsidR="00515718" w:rsidRPr="00515718" w14:paraId="1BBF0DA8" w14:textId="77777777" w:rsidTr="00515718">
        <w:trPr>
          <w:trHeight w:val="259"/>
        </w:trPr>
        <w:tc>
          <w:tcPr>
            <w:tcW w:w="1440" w:type="dxa"/>
            <w:tcBorders>
              <w:top w:val="nil"/>
              <w:left w:val="nil"/>
              <w:bottom w:val="single" w:sz="12" w:space="0" w:color="FFFFFF"/>
              <w:right w:val="single" w:sz="4" w:space="0" w:color="FFFFFF"/>
            </w:tcBorders>
            <w:shd w:val="clear" w:color="4F81BD" w:fill="4F81BD"/>
            <w:vAlign w:val="bottom"/>
            <w:hideMark/>
          </w:tcPr>
          <w:p w14:paraId="78A72DCF"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Ratios</w:t>
            </w:r>
          </w:p>
        </w:tc>
        <w:tc>
          <w:tcPr>
            <w:tcW w:w="1584" w:type="dxa"/>
            <w:tcBorders>
              <w:top w:val="nil"/>
              <w:left w:val="single" w:sz="4" w:space="0" w:color="FFFFFF"/>
              <w:bottom w:val="single" w:sz="12" w:space="0" w:color="FFFFFF"/>
              <w:right w:val="single" w:sz="4" w:space="0" w:color="FFFFFF"/>
            </w:tcBorders>
            <w:shd w:val="clear" w:color="4F81BD" w:fill="4F81BD"/>
            <w:noWrap/>
            <w:vAlign w:val="bottom"/>
            <w:hideMark/>
          </w:tcPr>
          <w:p w14:paraId="40954EBE"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2019</w:t>
            </w:r>
          </w:p>
        </w:tc>
        <w:tc>
          <w:tcPr>
            <w:tcW w:w="1584" w:type="dxa"/>
            <w:tcBorders>
              <w:top w:val="nil"/>
              <w:left w:val="single" w:sz="4" w:space="0" w:color="FFFFFF"/>
              <w:bottom w:val="single" w:sz="12" w:space="0" w:color="FFFFFF"/>
              <w:right w:val="single" w:sz="4" w:space="0" w:color="FFFFFF"/>
            </w:tcBorders>
            <w:shd w:val="clear" w:color="4F81BD" w:fill="4F81BD"/>
            <w:noWrap/>
            <w:vAlign w:val="bottom"/>
            <w:hideMark/>
          </w:tcPr>
          <w:p w14:paraId="3AFAA245"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2018</w:t>
            </w:r>
          </w:p>
        </w:tc>
        <w:tc>
          <w:tcPr>
            <w:tcW w:w="1584" w:type="dxa"/>
            <w:tcBorders>
              <w:top w:val="nil"/>
              <w:left w:val="single" w:sz="4" w:space="0" w:color="FFFFFF"/>
              <w:bottom w:val="single" w:sz="12" w:space="0" w:color="FFFFFF"/>
              <w:right w:val="single" w:sz="4" w:space="0" w:color="FFFFFF"/>
            </w:tcBorders>
            <w:shd w:val="clear" w:color="4F81BD" w:fill="4F81BD"/>
            <w:noWrap/>
            <w:vAlign w:val="bottom"/>
            <w:hideMark/>
          </w:tcPr>
          <w:p w14:paraId="3C300357"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2017</w:t>
            </w:r>
          </w:p>
        </w:tc>
        <w:tc>
          <w:tcPr>
            <w:tcW w:w="1584" w:type="dxa"/>
            <w:tcBorders>
              <w:top w:val="nil"/>
              <w:left w:val="single" w:sz="4" w:space="0" w:color="FFFFFF"/>
              <w:bottom w:val="single" w:sz="12" w:space="0" w:color="FFFFFF"/>
              <w:right w:val="single" w:sz="4" w:space="0" w:color="FFFFFF"/>
            </w:tcBorders>
            <w:shd w:val="clear" w:color="4F81BD" w:fill="4F81BD"/>
            <w:noWrap/>
            <w:vAlign w:val="bottom"/>
            <w:hideMark/>
          </w:tcPr>
          <w:p w14:paraId="18FCE505"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2016</w:t>
            </w:r>
          </w:p>
        </w:tc>
        <w:tc>
          <w:tcPr>
            <w:tcW w:w="1584" w:type="dxa"/>
            <w:tcBorders>
              <w:top w:val="nil"/>
              <w:left w:val="single" w:sz="4" w:space="0" w:color="FFFFFF"/>
              <w:bottom w:val="single" w:sz="12" w:space="0" w:color="FFFFFF"/>
              <w:right w:val="nil"/>
            </w:tcBorders>
            <w:shd w:val="clear" w:color="4F81BD" w:fill="4F81BD"/>
            <w:noWrap/>
            <w:vAlign w:val="bottom"/>
            <w:hideMark/>
          </w:tcPr>
          <w:p w14:paraId="38EA9E13"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2015</w:t>
            </w:r>
          </w:p>
        </w:tc>
      </w:tr>
      <w:tr w:rsidR="00515718" w:rsidRPr="00515718" w14:paraId="012FDE60"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0B7B95D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Current Ratio</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30083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2.82</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B8C94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2.41</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0F713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2.15</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76B6C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1.80</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404DBBF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1.35</w:t>
            </w:r>
          </w:p>
        </w:tc>
      </w:tr>
      <w:tr w:rsidR="00515718" w:rsidRPr="00515718" w14:paraId="4C83D406"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2472C9D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Quick Ratio</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B6031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2.82</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A1615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2.41</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20DA0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2.15</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59A6B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1.79</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165EC3A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1.34</w:t>
            </w:r>
          </w:p>
        </w:tc>
      </w:tr>
      <w:tr w:rsidR="00515718" w:rsidRPr="00515718" w14:paraId="012E6DE7"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7869D08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Cash Ratio</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71CFE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2.08</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41399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1.71</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4C296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1.06</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DE424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1.03</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41A20F3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0.75</w:t>
            </w:r>
          </w:p>
        </w:tc>
      </w:tr>
      <w:tr w:rsidR="00515718" w:rsidRPr="00515718" w14:paraId="33CA80CF"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6D3ADDE1"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Return on Equity</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5EEBF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19.11%</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8F1F0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22.70%</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A6F1A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23.82%</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91EC9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34.04%</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7B2E219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28.82%</w:t>
            </w:r>
          </w:p>
        </w:tc>
      </w:tr>
      <w:tr w:rsidR="00515718" w:rsidRPr="00515718" w14:paraId="2D12C5FE"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7ABC4376"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Net Profit Margin</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7503E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20.59%</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23561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20.25%</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AB5BE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19.96%</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F227D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26.30%</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69EFBC2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19.38%</w:t>
            </w:r>
          </w:p>
        </w:tc>
      </w:tr>
      <w:tr w:rsidR="00515718" w:rsidRPr="00515718" w14:paraId="7F3A7D54"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44426B3A"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Total Asset Turnover</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1874A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0.55</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3EEED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0.60</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5CE02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0.63</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11222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0.62</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7757D2A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0.73</w:t>
            </w:r>
          </w:p>
        </w:tc>
      </w:tr>
      <w:tr w:rsidR="00515718" w:rsidRPr="00515718" w14:paraId="1BA27FA8"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01E7062A"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Financial leverage multiplier</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E43C7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1.68</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F09ED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1.87</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096C8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1.90</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953E2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2.08</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627E201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2.02</w:t>
            </w:r>
          </w:p>
        </w:tc>
      </w:tr>
      <w:tr w:rsidR="00515718" w:rsidRPr="00515718" w14:paraId="399D542D"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44080D53"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DuPoint Identity</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F3F2F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19.11%</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BC779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22.70%</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45E7B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23.82%</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D6AF2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34.04%</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2C0AE91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28.82%</w:t>
            </w:r>
          </w:p>
        </w:tc>
      </w:tr>
      <w:tr w:rsidR="00515718" w:rsidRPr="00515718" w14:paraId="712493CB"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63B311FF"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Return on Assets</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C640B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11.38%</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ACDD6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12.15%</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B7ACF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12.53%</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7337B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16.40%</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152CC23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14.23%</w:t>
            </w:r>
          </w:p>
        </w:tc>
      </w:tr>
      <w:tr w:rsidR="00515718" w:rsidRPr="00515718" w14:paraId="7313E2C8"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2346D9B2"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Gross Profit Margin</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1A3A6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73.29%</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3EAEB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75.20%</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C0CE7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73.21%</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BE537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69.20%</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179610E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68.35%</w:t>
            </w:r>
          </w:p>
        </w:tc>
      </w:tr>
      <w:tr w:rsidR="00515718" w:rsidRPr="00515718" w14:paraId="25596389"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5CF00392"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Operating Profit Margin</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C5EE0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20.12%</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4A45C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27.84%</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63FA9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25.26%</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90A8F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20.43%</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14AF54E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21.00%</w:t>
            </w:r>
          </w:p>
        </w:tc>
      </w:tr>
      <w:tr w:rsidR="00515718" w:rsidRPr="00515718" w14:paraId="77FDEB8E"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714C4008"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Inventory Turnover</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4154C4"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No Net Inventory</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5D9F60"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No Net Inventory</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B7D3E1"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No Net Inventory</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484CC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41.03</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6BB7748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39.69</w:t>
            </w:r>
          </w:p>
        </w:tc>
      </w:tr>
      <w:tr w:rsidR="00515718" w:rsidRPr="00515718" w14:paraId="74A2805C"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63428D50"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Average Age of Inventory (Days)</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34111B"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No net Inventory</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80E085"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No net Inventory</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32327F"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No net Inventory</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C8065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8.90</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3AA8B13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9.20</w:t>
            </w:r>
          </w:p>
        </w:tc>
      </w:tr>
      <w:tr w:rsidR="00515718" w:rsidRPr="00515718" w14:paraId="1B6E62E4"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1923484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Collection Period (Days)</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98933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45.94</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53E95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27.29</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2B71F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27.05</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BFF5F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19.35</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274BA10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29.26</w:t>
            </w:r>
          </w:p>
        </w:tc>
      </w:tr>
      <w:tr w:rsidR="00515718" w:rsidRPr="00515718" w14:paraId="1C02CD99"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74D47F45"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Payables Period (Days)</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236DF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31.20</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3F100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13.72</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5687D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24.46</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A68F9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23.99</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71DF3BB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17.37</w:t>
            </w:r>
          </w:p>
        </w:tc>
      </w:tr>
      <w:tr w:rsidR="00515718" w:rsidRPr="00515718" w14:paraId="420BD63F"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329632A3"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Fixed Asset Turnover </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2158B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11.05</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54C1C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11.37</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9B386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11.16</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CF8EF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10.01</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35ACD24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9.84</w:t>
            </w:r>
          </w:p>
        </w:tc>
      </w:tr>
      <w:tr w:rsidR="00515718" w:rsidRPr="00515718" w14:paraId="4EEF649A"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5B26F5C4"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Times Interest Earned Ratio</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AF59F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22.13</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1B129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32.59</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A473E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26.04</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0077A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32.07</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07FB4E1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30.58</w:t>
            </w:r>
          </w:p>
        </w:tc>
      </w:tr>
      <w:tr w:rsidR="00515718" w:rsidRPr="00515718" w14:paraId="5D50AAB7"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50F35424"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Debt Ratio</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EFCE0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40.48%</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BEEFE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46.47%</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064E3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47.40%</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F3003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51.80%</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7C5B802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50.11%</w:t>
            </w:r>
          </w:p>
        </w:tc>
      </w:tr>
      <w:tr w:rsidR="00515718" w:rsidRPr="00515718" w14:paraId="730347BC"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7AB21833"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Debt-To-Equity Ratio</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57680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0.19</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3F503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0.22</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F59FE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0.24</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0545A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0.29</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274DE97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0.21</w:t>
            </w:r>
          </w:p>
        </w:tc>
      </w:tr>
      <w:tr w:rsidR="00515718" w:rsidRPr="00515718" w14:paraId="6E463A84" w14:textId="77777777" w:rsidTr="00A31D7C">
        <w:trPr>
          <w:trHeight w:val="259"/>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5FE3E3A4"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Market Price per Share </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44A0FD98" w14:textId="05FAE46F" w:rsidR="00515718" w:rsidRPr="00515718" w:rsidRDefault="00515718" w:rsidP="00A31D7C">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                   </w:t>
            </w:r>
            <w:r w:rsidR="00C8605A">
              <w:rPr>
                <w:rFonts w:ascii="Arial" w:eastAsia="Times New Roman" w:hAnsi="Arial" w:cs="Arial"/>
                <w:color w:val="000000"/>
                <w:sz w:val="20"/>
                <w:szCs w:val="20"/>
              </w:rPr>
              <w:t xml:space="preserve">      </w:t>
            </w:r>
            <w:r w:rsidR="00A31D7C">
              <w:rPr>
                <w:rFonts w:ascii="Arial" w:eastAsia="Times New Roman" w:hAnsi="Arial" w:cs="Arial"/>
                <w:color w:val="000000"/>
                <w:sz w:val="20"/>
                <w:szCs w:val="20"/>
              </w:rPr>
              <w:t>$</w:t>
            </w:r>
            <w:r w:rsidRPr="00515718">
              <w:rPr>
                <w:rFonts w:ascii="Arial" w:eastAsia="Times New Roman" w:hAnsi="Arial" w:cs="Arial"/>
                <w:color w:val="000000"/>
                <w:sz w:val="20"/>
                <w:szCs w:val="20"/>
              </w:rPr>
              <w:t>102.67</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6F2D8316" w14:textId="0DCC2A62" w:rsidR="00515718" w:rsidRPr="00515718" w:rsidRDefault="00515718" w:rsidP="00A31D7C">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                     </w:t>
            </w:r>
            <w:r w:rsidR="00A31D7C">
              <w:rPr>
                <w:rFonts w:ascii="Arial" w:eastAsia="Times New Roman" w:hAnsi="Arial" w:cs="Arial"/>
                <w:color w:val="000000"/>
                <w:sz w:val="20"/>
                <w:szCs w:val="20"/>
              </w:rPr>
              <w:t>$</w:t>
            </w:r>
            <w:r w:rsidRPr="00515718">
              <w:rPr>
                <w:rFonts w:ascii="Arial" w:eastAsia="Times New Roman" w:hAnsi="Arial" w:cs="Arial"/>
                <w:color w:val="000000"/>
                <w:sz w:val="20"/>
                <w:szCs w:val="20"/>
              </w:rPr>
              <w:t>111.72</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400ADF26" w14:textId="6C82AE71" w:rsidR="00515718" w:rsidRPr="00515718" w:rsidRDefault="00515718" w:rsidP="00A31D7C">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                       </w:t>
            </w:r>
            <w:r w:rsidR="00A31D7C">
              <w:rPr>
                <w:rFonts w:ascii="Arial" w:eastAsia="Times New Roman" w:hAnsi="Arial" w:cs="Arial"/>
                <w:color w:val="000000"/>
                <w:sz w:val="20"/>
                <w:szCs w:val="20"/>
              </w:rPr>
              <w:t>$</w:t>
            </w:r>
            <w:r w:rsidRPr="00515718">
              <w:rPr>
                <w:rFonts w:ascii="Arial" w:eastAsia="Times New Roman" w:hAnsi="Arial" w:cs="Arial"/>
                <w:color w:val="000000"/>
                <w:sz w:val="20"/>
                <w:szCs w:val="20"/>
              </w:rPr>
              <w:t>89.52</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7C1F8DE4" w14:textId="6C6B11C5" w:rsidR="00515718" w:rsidRPr="00515718" w:rsidRDefault="00515718" w:rsidP="00A31D7C">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                       </w:t>
            </w:r>
            <w:r w:rsidR="00A31D7C">
              <w:rPr>
                <w:rFonts w:ascii="Arial" w:eastAsia="Times New Roman" w:hAnsi="Arial" w:cs="Arial"/>
                <w:color w:val="000000"/>
                <w:sz w:val="20"/>
                <w:szCs w:val="20"/>
              </w:rPr>
              <w:t>$</w:t>
            </w:r>
            <w:r w:rsidRPr="00515718">
              <w:rPr>
                <w:rFonts w:ascii="Arial" w:eastAsia="Times New Roman" w:hAnsi="Arial" w:cs="Arial"/>
                <w:color w:val="000000"/>
                <w:sz w:val="20"/>
                <w:szCs w:val="20"/>
              </w:rPr>
              <w:t>66.11</w:t>
            </w:r>
          </w:p>
        </w:tc>
        <w:tc>
          <w:tcPr>
            <w:tcW w:w="1584" w:type="dxa"/>
            <w:tcBorders>
              <w:top w:val="single" w:sz="4" w:space="0" w:color="FFFFFF"/>
              <w:left w:val="single" w:sz="4" w:space="0" w:color="FFFFFF"/>
              <w:bottom w:val="single" w:sz="4" w:space="0" w:color="FFFFFF"/>
              <w:right w:val="nil"/>
            </w:tcBorders>
            <w:shd w:val="clear" w:color="DCE6F1" w:fill="DCE6F1"/>
            <w:noWrap/>
            <w:hideMark/>
          </w:tcPr>
          <w:p w14:paraId="619362E8" w14:textId="6295A1FC" w:rsidR="00515718" w:rsidRPr="00515718" w:rsidRDefault="00515718" w:rsidP="00A31D7C">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                       </w:t>
            </w:r>
            <w:r w:rsidR="00A31D7C">
              <w:rPr>
                <w:rFonts w:ascii="Arial" w:eastAsia="Times New Roman" w:hAnsi="Arial" w:cs="Arial"/>
                <w:color w:val="000000"/>
                <w:sz w:val="20"/>
                <w:szCs w:val="20"/>
              </w:rPr>
              <w:t>$</w:t>
            </w:r>
            <w:r w:rsidRPr="00515718">
              <w:rPr>
                <w:rFonts w:ascii="Arial" w:eastAsia="Times New Roman" w:hAnsi="Arial" w:cs="Arial"/>
                <w:color w:val="000000"/>
                <w:sz w:val="20"/>
                <w:szCs w:val="20"/>
              </w:rPr>
              <w:t>58.82</w:t>
            </w:r>
          </w:p>
        </w:tc>
      </w:tr>
      <w:tr w:rsidR="00515718" w:rsidRPr="00515718" w14:paraId="788CE630" w14:textId="77777777" w:rsidTr="00A31D7C">
        <w:trPr>
          <w:trHeight w:val="259"/>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173FCACC"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Book price per share </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553BCDE" w14:textId="173F7B66" w:rsidR="00515718" w:rsidRPr="00515718" w:rsidRDefault="00515718" w:rsidP="00A31D7C">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                       </w:t>
            </w:r>
            <w:r w:rsidR="00A31D7C">
              <w:rPr>
                <w:rFonts w:ascii="Arial" w:eastAsia="Times New Roman" w:hAnsi="Arial" w:cs="Arial"/>
                <w:color w:val="000000"/>
                <w:sz w:val="20"/>
                <w:szCs w:val="20"/>
              </w:rPr>
              <w:t>$</w:t>
            </w:r>
            <w:r w:rsidRPr="00515718">
              <w:rPr>
                <w:rFonts w:ascii="Arial" w:eastAsia="Times New Roman" w:hAnsi="Arial" w:cs="Arial"/>
                <w:color w:val="000000"/>
                <w:sz w:val="20"/>
                <w:szCs w:val="20"/>
              </w:rPr>
              <w:t>17.88</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7881526F" w14:textId="4D8D640B" w:rsidR="00515718" w:rsidRPr="00515718" w:rsidRDefault="00515718" w:rsidP="00A31D7C">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                       </w:t>
            </w:r>
            <w:r w:rsidR="00A31D7C">
              <w:rPr>
                <w:rFonts w:ascii="Arial" w:eastAsia="Times New Roman" w:hAnsi="Arial" w:cs="Arial"/>
                <w:color w:val="000000"/>
                <w:sz w:val="20"/>
                <w:szCs w:val="20"/>
              </w:rPr>
              <w:t>$</w:t>
            </w:r>
            <w:r w:rsidRPr="00515718">
              <w:rPr>
                <w:rFonts w:ascii="Arial" w:eastAsia="Times New Roman" w:hAnsi="Arial" w:cs="Arial"/>
                <w:color w:val="000000"/>
                <w:sz w:val="20"/>
                <w:szCs w:val="20"/>
              </w:rPr>
              <w:t>15.00</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14445899" w14:textId="4443CA18" w:rsidR="00515718" w:rsidRPr="00515718" w:rsidRDefault="00515718" w:rsidP="00A31D7C">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                       </w:t>
            </w:r>
            <w:r w:rsidR="00A31D7C">
              <w:rPr>
                <w:rFonts w:ascii="Arial" w:eastAsia="Times New Roman" w:hAnsi="Arial" w:cs="Arial"/>
                <w:color w:val="000000"/>
                <w:sz w:val="20"/>
                <w:szCs w:val="20"/>
              </w:rPr>
              <w:t>$</w:t>
            </w:r>
            <w:r w:rsidRPr="00515718">
              <w:rPr>
                <w:rFonts w:ascii="Arial" w:eastAsia="Times New Roman" w:hAnsi="Arial" w:cs="Arial"/>
                <w:color w:val="000000"/>
                <w:sz w:val="20"/>
                <w:szCs w:val="20"/>
              </w:rPr>
              <w:t>13.17</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1D07AB31" w14:textId="1DA0D47F" w:rsidR="00515718" w:rsidRPr="00515718" w:rsidRDefault="00515718" w:rsidP="00A31D7C">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                       </w:t>
            </w:r>
            <w:r w:rsidR="00A31D7C">
              <w:rPr>
                <w:rFonts w:ascii="Arial" w:eastAsia="Times New Roman" w:hAnsi="Arial" w:cs="Arial"/>
                <w:color w:val="000000"/>
                <w:sz w:val="20"/>
                <w:szCs w:val="20"/>
              </w:rPr>
              <w:t>$</w:t>
            </w:r>
            <w:r w:rsidRPr="00515718">
              <w:rPr>
                <w:rFonts w:ascii="Arial" w:eastAsia="Times New Roman" w:hAnsi="Arial" w:cs="Arial"/>
                <w:color w:val="000000"/>
                <w:sz w:val="20"/>
                <w:szCs w:val="20"/>
              </w:rPr>
              <w:t>11.30</w:t>
            </w:r>
          </w:p>
        </w:tc>
        <w:tc>
          <w:tcPr>
            <w:tcW w:w="1584" w:type="dxa"/>
            <w:tcBorders>
              <w:top w:val="single" w:sz="4" w:space="0" w:color="FFFFFF"/>
              <w:left w:val="single" w:sz="4" w:space="0" w:color="FFFFFF"/>
              <w:bottom w:val="single" w:sz="4" w:space="0" w:color="FFFFFF"/>
              <w:right w:val="nil"/>
            </w:tcBorders>
            <w:shd w:val="clear" w:color="B8CCE4" w:fill="B8CCE4"/>
            <w:noWrap/>
            <w:hideMark/>
          </w:tcPr>
          <w:p w14:paraId="4A3F46D3" w14:textId="3E04DC4F" w:rsidR="00515718" w:rsidRPr="00515718" w:rsidRDefault="00515718" w:rsidP="00A31D7C">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                         </w:t>
            </w:r>
            <w:r w:rsidR="00A31D7C">
              <w:rPr>
                <w:rFonts w:ascii="Arial" w:eastAsia="Times New Roman" w:hAnsi="Arial" w:cs="Arial"/>
                <w:color w:val="000000"/>
                <w:sz w:val="20"/>
                <w:szCs w:val="20"/>
              </w:rPr>
              <w:t>$</w:t>
            </w:r>
            <w:r w:rsidRPr="00515718">
              <w:rPr>
                <w:rFonts w:ascii="Arial" w:eastAsia="Times New Roman" w:hAnsi="Arial" w:cs="Arial"/>
                <w:color w:val="000000"/>
                <w:sz w:val="20"/>
                <w:szCs w:val="20"/>
              </w:rPr>
              <w:t>9.80</w:t>
            </w:r>
          </w:p>
        </w:tc>
      </w:tr>
      <w:tr w:rsidR="00515718" w:rsidRPr="00515718" w14:paraId="0A2DC9F1"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5067C1F6"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Market to Book ratio</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88E46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5.74</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AEAAF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7.45</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E2A3D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6.80</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B5746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5.85</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354098A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6.00</w:t>
            </w:r>
          </w:p>
        </w:tc>
      </w:tr>
      <w:tr w:rsidR="00515718" w:rsidRPr="00515718" w14:paraId="7E32D7FA" w14:textId="77777777" w:rsidTr="00515718">
        <w:trPr>
          <w:trHeight w:val="259"/>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19A8D2A8" w14:textId="01BB2756"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Market </w:t>
            </w:r>
            <w:r w:rsidR="00FA2F96" w:rsidRPr="00515718">
              <w:rPr>
                <w:rFonts w:ascii="Arial" w:eastAsia="Times New Roman" w:hAnsi="Arial" w:cs="Arial"/>
                <w:color w:val="000000"/>
                <w:sz w:val="20"/>
                <w:szCs w:val="20"/>
              </w:rPr>
              <w:t>capitalization</w:t>
            </w:r>
            <w:r w:rsidRPr="00515718">
              <w:rPr>
                <w:rFonts w:ascii="Arial" w:eastAsia="Times New Roman" w:hAnsi="Arial" w:cs="Arial"/>
                <w:color w:val="000000"/>
                <w:sz w:val="20"/>
                <w:szCs w:val="20"/>
              </w:rPr>
              <w:t xml:space="preserve"> (Market value of </w:t>
            </w:r>
            <w:r w:rsidR="00FA2F96" w:rsidRPr="00515718">
              <w:rPr>
                <w:rFonts w:ascii="Arial" w:eastAsia="Times New Roman" w:hAnsi="Arial" w:cs="Arial"/>
                <w:color w:val="000000"/>
                <w:sz w:val="20"/>
                <w:szCs w:val="20"/>
              </w:rPr>
              <w:t>equity</w:t>
            </w:r>
            <w:r w:rsidRPr="00515718">
              <w:rPr>
                <w:rFonts w:ascii="Arial" w:eastAsia="Times New Roman" w:hAnsi="Arial" w:cs="Arial"/>
                <w:color w:val="000000"/>
                <w:sz w:val="20"/>
                <w:szCs w:val="20"/>
              </w:rPr>
              <w:t>)</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A64208" w14:textId="492D81F9" w:rsidR="00515718" w:rsidRPr="00515718" w:rsidRDefault="00515718" w:rsidP="00515718">
            <w:pPr>
              <w:spacing w:after="0" w:line="240" w:lineRule="auto"/>
              <w:jc w:val="center"/>
              <w:rPr>
                <w:rFonts w:ascii="Arial" w:eastAsia="Times New Roman" w:hAnsi="Arial" w:cs="Arial"/>
                <w:color w:val="000000"/>
                <w:sz w:val="20"/>
                <w:szCs w:val="20"/>
              </w:rPr>
            </w:pPr>
            <w:r w:rsidRPr="00515718">
              <w:rPr>
                <w:rFonts w:ascii="Arial" w:eastAsia="Times New Roman" w:hAnsi="Arial" w:cs="Arial"/>
                <w:color w:val="000000"/>
                <w:sz w:val="20"/>
                <w:szCs w:val="20"/>
              </w:rPr>
              <w:t>$          30,606,645.69</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40264B" w14:textId="38993666" w:rsidR="00515718" w:rsidRPr="00515718" w:rsidRDefault="00515718" w:rsidP="00515718">
            <w:pPr>
              <w:spacing w:after="0" w:line="240" w:lineRule="auto"/>
              <w:jc w:val="center"/>
              <w:rPr>
                <w:rFonts w:ascii="Arial" w:eastAsia="Times New Roman" w:hAnsi="Arial" w:cs="Arial"/>
                <w:color w:val="000000"/>
                <w:sz w:val="20"/>
                <w:szCs w:val="20"/>
              </w:rPr>
            </w:pPr>
            <w:r w:rsidRPr="00515718">
              <w:rPr>
                <w:rFonts w:ascii="Arial" w:eastAsia="Times New Roman" w:hAnsi="Arial" w:cs="Arial"/>
                <w:color w:val="000000"/>
                <w:sz w:val="20"/>
                <w:szCs w:val="20"/>
              </w:rPr>
              <w:t>$          34,227,656.40</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09C89C" w14:textId="74EE0D47" w:rsidR="00515718" w:rsidRPr="00515718" w:rsidRDefault="00515718" w:rsidP="00515718">
            <w:pPr>
              <w:spacing w:after="0" w:line="240" w:lineRule="auto"/>
              <w:jc w:val="center"/>
              <w:rPr>
                <w:rFonts w:ascii="Arial" w:eastAsia="Times New Roman" w:hAnsi="Arial" w:cs="Arial"/>
                <w:color w:val="000000"/>
                <w:sz w:val="20"/>
                <w:szCs w:val="20"/>
              </w:rPr>
            </w:pPr>
            <w:r w:rsidRPr="00515718">
              <w:rPr>
                <w:rFonts w:ascii="Arial" w:eastAsia="Times New Roman" w:hAnsi="Arial" w:cs="Arial"/>
                <w:color w:val="000000"/>
                <w:sz w:val="20"/>
                <w:szCs w:val="20"/>
              </w:rPr>
              <w:t>$          27,605,013.84</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61FFCF" w14:textId="37C425A4" w:rsidR="00515718" w:rsidRPr="00515718" w:rsidRDefault="00515718" w:rsidP="00515718">
            <w:pPr>
              <w:spacing w:after="0" w:line="240" w:lineRule="auto"/>
              <w:jc w:val="center"/>
              <w:rPr>
                <w:rFonts w:ascii="Arial" w:eastAsia="Times New Roman" w:hAnsi="Arial" w:cs="Arial"/>
                <w:color w:val="000000"/>
                <w:sz w:val="20"/>
                <w:szCs w:val="20"/>
              </w:rPr>
            </w:pPr>
            <w:r w:rsidRPr="00515718">
              <w:rPr>
                <w:rFonts w:ascii="Arial" w:eastAsia="Times New Roman" w:hAnsi="Arial" w:cs="Arial"/>
                <w:color w:val="000000"/>
                <w:sz w:val="20"/>
                <w:szCs w:val="20"/>
              </w:rPr>
              <w:t>$          19,872,798.22</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219F7AB3" w14:textId="38C84575" w:rsidR="00515718" w:rsidRPr="00515718" w:rsidRDefault="00515718" w:rsidP="00515718">
            <w:pPr>
              <w:spacing w:after="0" w:line="240" w:lineRule="auto"/>
              <w:jc w:val="center"/>
              <w:rPr>
                <w:rFonts w:ascii="Arial" w:eastAsia="Times New Roman" w:hAnsi="Arial" w:cs="Arial"/>
                <w:color w:val="000000"/>
                <w:sz w:val="20"/>
                <w:szCs w:val="20"/>
              </w:rPr>
            </w:pPr>
            <w:r w:rsidRPr="00515718">
              <w:rPr>
                <w:rFonts w:ascii="Arial" w:eastAsia="Times New Roman" w:hAnsi="Arial" w:cs="Arial"/>
                <w:color w:val="000000"/>
                <w:sz w:val="20"/>
                <w:szCs w:val="20"/>
              </w:rPr>
              <w:t>$          18,215,436.42</w:t>
            </w:r>
          </w:p>
        </w:tc>
      </w:tr>
      <w:tr w:rsidR="00515718" w:rsidRPr="00515718" w14:paraId="0197D8E6" w14:textId="77777777" w:rsidTr="00515718">
        <w:trPr>
          <w:trHeight w:val="259"/>
        </w:trPr>
        <w:tc>
          <w:tcPr>
            <w:tcW w:w="1440" w:type="dxa"/>
            <w:tcBorders>
              <w:top w:val="single" w:sz="4" w:space="0" w:color="FFFFFF"/>
              <w:left w:val="nil"/>
              <w:bottom w:val="nil"/>
              <w:right w:val="single" w:sz="4" w:space="0" w:color="FFFFFF"/>
            </w:tcBorders>
            <w:shd w:val="clear" w:color="DCE6F1" w:fill="DCE6F1"/>
            <w:noWrap/>
            <w:vAlign w:val="bottom"/>
            <w:hideMark/>
          </w:tcPr>
          <w:p w14:paraId="7F947F70"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Price to Earnings </w:t>
            </w:r>
            <w:r w:rsidRPr="00515718">
              <w:rPr>
                <w:rFonts w:ascii="Arial" w:eastAsia="Times New Roman" w:hAnsi="Arial" w:cs="Arial"/>
                <w:color w:val="000000"/>
                <w:sz w:val="20"/>
                <w:szCs w:val="20"/>
              </w:rPr>
              <w:lastRenderedPageBreak/>
              <w:t>Ratio (P/E Ratio)</w:t>
            </w:r>
          </w:p>
        </w:tc>
        <w:tc>
          <w:tcPr>
            <w:tcW w:w="1584" w:type="dxa"/>
            <w:tcBorders>
              <w:top w:val="single" w:sz="4" w:space="0" w:color="FFFFFF"/>
              <w:left w:val="single" w:sz="4" w:space="0" w:color="FFFFFF"/>
              <w:bottom w:val="nil"/>
              <w:right w:val="single" w:sz="4" w:space="0" w:color="FFFFFF"/>
            </w:tcBorders>
            <w:shd w:val="clear" w:color="DCE6F1" w:fill="DCE6F1"/>
            <w:noWrap/>
            <w:vAlign w:val="bottom"/>
            <w:hideMark/>
          </w:tcPr>
          <w:p w14:paraId="7EE9E1F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lastRenderedPageBreak/>
              <w:t>30.83</w:t>
            </w:r>
          </w:p>
        </w:tc>
        <w:tc>
          <w:tcPr>
            <w:tcW w:w="1584" w:type="dxa"/>
            <w:tcBorders>
              <w:top w:val="single" w:sz="4" w:space="0" w:color="FFFFFF"/>
              <w:left w:val="single" w:sz="4" w:space="0" w:color="FFFFFF"/>
              <w:bottom w:val="nil"/>
              <w:right w:val="single" w:sz="4" w:space="0" w:color="FFFFFF"/>
            </w:tcBorders>
            <w:shd w:val="clear" w:color="DCE6F1" w:fill="DCE6F1"/>
            <w:noWrap/>
            <w:vAlign w:val="bottom"/>
            <w:hideMark/>
          </w:tcPr>
          <w:p w14:paraId="6D8FECA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33.45</w:t>
            </w:r>
          </w:p>
        </w:tc>
        <w:tc>
          <w:tcPr>
            <w:tcW w:w="1584" w:type="dxa"/>
            <w:tcBorders>
              <w:top w:val="single" w:sz="4" w:space="0" w:color="FFFFFF"/>
              <w:left w:val="single" w:sz="4" w:space="0" w:color="FFFFFF"/>
              <w:bottom w:val="nil"/>
              <w:right w:val="single" w:sz="4" w:space="0" w:color="FFFFFF"/>
            </w:tcBorders>
            <w:shd w:val="clear" w:color="DCE6F1" w:fill="DCE6F1"/>
            <w:noWrap/>
            <w:vAlign w:val="bottom"/>
            <w:hideMark/>
          </w:tcPr>
          <w:p w14:paraId="45765D4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29.06</w:t>
            </w:r>
          </w:p>
        </w:tc>
        <w:tc>
          <w:tcPr>
            <w:tcW w:w="1584" w:type="dxa"/>
            <w:tcBorders>
              <w:top w:val="single" w:sz="4" w:space="0" w:color="FFFFFF"/>
              <w:left w:val="single" w:sz="4" w:space="0" w:color="FFFFFF"/>
              <w:bottom w:val="nil"/>
              <w:right w:val="single" w:sz="4" w:space="0" w:color="FFFFFF"/>
            </w:tcBorders>
            <w:shd w:val="clear" w:color="DCE6F1" w:fill="DCE6F1"/>
            <w:noWrap/>
            <w:vAlign w:val="bottom"/>
            <w:hideMark/>
          </w:tcPr>
          <w:p w14:paraId="68E4E61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18.89</w:t>
            </w:r>
          </w:p>
        </w:tc>
        <w:tc>
          <w:tcPr>
            <w:tcW w:w="1584" w:type="dxa"/>
            <w:tcBorders>
              <w:top w:val="single" w:sz="4" w:space="0" w:color="FFFFFF"/>
              <w:left w:val="single" w:sz="4" w:space="0" w:color="FFFFFF"/>
              <w:bottom w:val="nil"/>
              <w:right w:val="nil"/>
            </w:tcBorders>
            <w:shd w:val="clear" w:color="DCE6F1" w:fill="DCE6F1"/>
            <w:noWrap/>
            <w:vAlign w:val="bottom"/>
            <w:hideMark/>
          </w:tcPr>
          <w:p w14:paraId="305D2D1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21.87</w:t>
            </w:r>
          </w:p>
        </w:tc>
      </w:tr>
    </w:tbl>
    <w:p w14:paraId="71871DBE" w14:textId="77777777" w:rsidR="00515718" w:rsidRPr="003A0A70" w:rsidRDefault="00515718" w:rsidP="0084121B">
      <w:pPr>
        <w:shd w:val="clear" w:color="auto" w:fill="FFFFFF"/>
        <w:spacing w:line="480" w:lineRule="auto"/>
        <w:ind w:hanging="330"/>
        <w:rPr>
          <w:rFonts w:ascii="Times New Roman" w:eastAsia="Times New Roman" w:hAnsi="Times New Roman" w:cs="Times New Roman"/>
          <w:color w:val="333333"/>
          <w:sz w:val="24"/>
          <w:szCs w:val="24"/>
        </w:rPr>
      </w:pPr>
    </w:p>
    <w:tbl>
      <w:tblPr>
        <w:tblW w:w="9360" w:type="dxa"/>
        <w:tblLook w:val="04A0" w:firstRow="1" w:lastRow="0" w:firstColumn="1" w:lastColumn="0" w:noHBand="0" w:noVBand="1"/>
      </w:tblPr>
      <w:tblGrid>
        <w:gridCol w:w="1440"/>
        <w:gridCol w:w="1584"/>
        <w:gridCol w:w="1584"/>
        <w:gridCol w:w="1584"/>
        <w:gridCol w:w="1584"/>
        <w:gridCol w:w="1584"/>
      </w:tblGrid>
      <w:tr w:rsidR="00515718" w:rsidRPr="00515718" w14:paraId="6D591B08" w14:textId="77777777" w:rsidTr="00515718">
        <w:trPr>
          <w:trHeight w:val="405"/>
        </w:trPr>
        <w:tc>
          <w:tcPr>
            <w:tcW w:w="1440" w:type="dxa"/>
            <w:tcBorders>
              <w:top w:val="nil"/>
              <w:left w:val="nil"/>
              <w:bottom w:val="single" w:sz="12" w:space="0" w:color="4F81BD"/>
              <w:right w:val="nil"/>
            </w:tcBorders>
            <w:shd w:val="clear" w:color="000000" w:fill="B8CCE4"/>
            <w:vAlign w:val="bottom"/>
            <w:hideMark/>
          </w:tcPr>
          <w:p w14:paraId="1F349296" w14:textId="77777777" w:rsidR="00515718" w:rsidRPr="00515718" w:rsidRDefault="00515718" w:rsidP="00515718">
            <w:pPr>
              <w:spacing w:after="0" w:line="240" w:lineRule="auto"/>
              <w:rPr>
                <w:rFonts w:ascii="Calibri" w:eastAsia="Times New Roman" w:hAnsi="Calibri" w:cs="Calibri"/>
                <w:b/>
                <w:bCs/>
                <w:color w:val="1F497D"/>
                <w:sz w:val="24"/>
                <w:szCs w:val="24"/>
              </w:rPr>
            </w:pPr>
            <w:r w:rsidRPr="00515718">
              <w:rPr>
                <w:rFonts w:ascii="Calibri" w:eastAsia="Times New Roman" w:hAnsi="Calibri" w:cs="Calibri"/>
                <w:b/>
                <w:bCs/>
                <w:color w:val="1F497D"/>
                <w:sz w:val="24"/>
                <w:szCs w:val="24"/>
              </w:rPr>
              <w:t>Appendix F</w:t>
            </w:r>
          </w:p>
        </w:tc>
        <w:tc>
          <w:tcPr>
            <w:tcW w:w="7920" w:type="dxa"/>
            <w:gridSpan w:val="5"/>
            <w:tcBorders>
              <w:top w:val="nil"/>
              <w:left w:val="nil"/>
              <w:bottom w:val="single" w:sz="12" w:space="0" w:color="4F81BD"/>
              <w:right w:val="nil"/>
            </w:tcBorders>
            <w:shd w:val="clear" w:color="000000" w:fill="B8CCE4"/>
            <w:noWrap/>
            <w:vAlign w:val="bottom"/>
            <w:hideMark/>
          </w:tcPr>
          <w:p w14:paraId="3EE8357F" w14:textId="77777777" w:rsidR="00515718" w:rsidRPr="00515718" w:rsidRDefault="00515718" w:rsidP="00515718">
            <w:pPr>
              <w:spacing w:after="0" w:line="240" w:lineRule="auto"/>
              <w:jc w:val="center"/>
              <w:rPr>
                <w:rFonts w:ascii="Calibri" w:eastAsia="Times New Roman" w:hAnsi="Calibri" w:cs="Calibri"/>
                <w:b/>
                <w:bCs/>
                <w:color w:val="1F497D"/>
                <w:sz w:val="30"/>
                <w:szCs w:val="30"/>
              </w:rPr>
            </w:pPr>
            <w:r w:rsidRPr="00515718">
              <w:rPr>
                <w:rFonts w:ascii="Calibri" w:eastAsia="Times New Roman" w:hAnsi="Calibri" w:cs="Calibri"/>
                <w:b/>
                <w:bCs/>
                <w:color w:val="1F497D"/>
                <w:sz w:val="30"/>
                <w:szCs w:val="30"/>
              </w:rPr>
              <w:t>Activision Blizzard - Financial Ratios</w:t>
            </w:r>
          </w:p>
        </w:tc>
      </w:tr>
      <w:tr w:rsidR="00515718" w:rsidRPr="00515718" w14:paraId="468D9811" w14:textId="77777777" w:rsidTr="00515718">
        <w:trPr>
          <w:trHeight w:val="270"/>
        </w:trPr>
        <w:tc>
          <w:tcPr>
            <w:tcW w:w="1440" w:type="dxa"/>
            <w:tcBorders>
              <w:top w:val="nil"/>
              <w:left w:val="nil"/>
              <w:bottom w:val="single" w:sz="12" w:space="0" w:color="FFFFFF"/>
              <w:right w:val="single" w:sz="4" w:space="0" w:color="FFFFFF"/>
            </w:tcBorders>
            <w:shd w:val="clear" w:color="4F81BD" w:fill="4F81BD"/>
            <w:vAlign w:val="bottom"/>
            <w:hideMark/>
          </w:tcPr>
          <w:p w14:paraId="0E6EF034"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Ratio</w:t>
            </w:r>
          </w:p>
        </w:tc>
        <w:tc>
          <w:tcPr>
            <w:tcW w:w="1584" w:type="dxa"/>
            <w:tcBorders>
              <w:top w:val="nil"/>
              <w:left w:val="single" w:sz="4" w:space="0" w:color="FFFFFF"/>
              <w:bottom w:val="single" w:sz="12" w:space="0" w:color="FFFFFF"/>
              <w:right w:val="single" w:sz="4" w:space="0" w:color="FFFFFF"/>
            </w:tcBorders>
            <w:shd w:val="clear" w:color="4F81BD" w:fill="4F81BD"/>
            <w:noWrap/>
            <w:vAlign w:val="bottom"/>
            <w:hideMark/>
          </w:tcPr>
          <w:p w14:paraId="5101BCC0"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2019</w:t>
            </w:r>
          </w:p>
        </w:tc>
        <w:tc>
          <w:tcPr>
            <w:tcW w:w="1584" w:type="dxa"/>
            <w:tcBorders>
              <w:top w:val="nil"/>
              <w:left w:val="single" w:sz="4" w:space="0" w:color="FFFFFF"/>
              <w:bottom w:val="single" w:sz="12" w:space="0" w:color="FFFFFF"/>
              <w:right w:val="single" w:sz="4" w:space="0" w:color="FFFFFF"/>
            </w:tcBorders>
            <w:shd w:val="clear" w:color="4F81BD" w:fill="4F81BD"/>
            <w:noWrap/>
            <w:vAlign w:val="bottom"/>
            <w:hideMark/>
          </w:tcPr>
          <w:p w14:paraId="4AB304FD"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2018</w:t>
            </w:r>
          </w:p>
        </w:tc>
        <w:tc>
          <w:tcPr>
            <w:tcW w:w="1584" w:type="dxa"/>
            <w:tcBorders>
              <w:top w:val="nil"/>
              <w:left w:val="single" w:sz="4" w:space="0" w:color="FFFFFF"/>
              <w:bottom w:val="single" w:sz="12" w:space="0" w:color="FFFFFF"/>
              <w:right w:val="single" w:sz="4" w:space="0" w:color="FFFFFF"/>
            </w:tcBorders>
            <w:shd w:val="clear" w:color="4F81BD" w:fill="4F81BD"/>
            <w:noWrap/>
            <w:vAlign w:val="bottom"/>
            <w:hideMark/>
          </w:tcPr>
          <w:p w14:paraId="50D345AF"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2017</w:t>
            </w:r>
          </w:p>
        </w:tc>
        <w:tc>
          <w:tcPr>
            <w:tcW w:w="1584" w:type="dxa"/>
            <w:tcBorders>
              <w:top w:val="nil"/>
              <w:left w:val="single" w:sz="4" w:space="0" w:color="FFFFFF"/>
              <w:bottom w:val="single" w:sz="12" w:space="0" w:color="FFFFFF"/>
              <w:right w:val="single" w:sz="4" w:space="0" w:color="FFFFFF"/>
            </w:tcBorders>
            <w:shd w:val="clear" w:color="4F81BD" w:fill="4F81BD"/>
            <w:noWrap/>
            <w:vAlign w:val="bottom"/>
            <w:hideMark/>
          </w:tcPr>
          <w:p w14:paraId="54253A5E"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2016</w:t>
            </w:r>
          </w:p>
        </w:tc>
        <w:tc>
          <w:tcPr>
            <w:tcW w:w="1584" w:type="dxa"/>
            <w:tcBorders>
              <w:top w:val="nil"/>
              <w:left w:val="single" w:sz="4" w:space="0" w:color="FFFFFF"/>
              <w:bottom w:val="single" w:sz="12" w:space="0" w:color="FFFFFF"/>
              <w:right w:val="nil"/>
            </w:tcBorders>
            <w:shd w:val="clear" w:color="4F81BD" w:fill="4F81BD"/>
            <w:noWrap/>
            <w:vAlign w:val="bottom"/>
            <w:hideMark/>
          </w:tcPr>
          <w:p w14:paraId="333D024A" w14:textId="77777777" w:rsidR="00515718" w:rsidRPr="00515718" w:rsidRDefault="00515718" w:rsidP="00515718">
            <w:pPr>
              <w:spacing w:after="0" w:line="240" w:lineRule="auto"/>
              <w:rPr>
                <w:rFonts w:ascii="Arial" w:eastAsia="Times New Roman" w:hAnsi="Arial" w:cs="Arial"/>
                <w:b/>
                <w:bCs/>
                <w:color w:val="FFFFFF"/>
                <w:sz w:val="20"/>
                <w:szCs w:val="20"/>
              </w:rPr>
            </w:pPr>
            <w:r w:rsidRPr="00515718">
              <w:rPr>
                <w:rFonts w:ascii="Arial" w:eastAsia="Times New Roman" w:hAnsi="Arial" w:cs="Arial"/>
                <w:b/>
                <w:bCs/>
                <w:color w:val="FFFFFF"/>
                <w:sz w:val="20"/>
                <w:szCs w:val="20"/>
              </w:rPr>
              <w:t>2015</w:t>
            </w:r>
          </w:p>
        </w:tc>
      </w:tr>
      <w:tr w:rsidR="00515718" w:rsidRPr="00515718" w14:paraId="567F13BA"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410F8D15"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Current Ratio</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A42E5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2.50</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9316B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2.31</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DBA3D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1.78</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29CA9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1.82</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114D1DD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1.30</w:t>
            </w:r>
          </w:p>
        </w:tc>
      </w:tr>
      <w:tr w:rsidR="00515718" w:rsidRPr="00515718" w14:paraId="65DE310A"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6424B71C"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Quick Ratio</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91A6A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2.49</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B2593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2.29</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14531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1.77</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C46C3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1.80</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5A78C30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1.25</w:t>
            </w:r>
          </w:p>
        </w:tc>
      </w:tr>
      <w:tr w:rsidR="00515718" w:rsidRPr="00515718" w14:paraId="26F9A758"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180C3C81"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Cash Ratio</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79DB9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1.99</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EAB2B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1.60</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D79F9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1.29</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11BCF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1.22</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118B459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0.70</w:t>
            </w:r>
          </w:p>
        </w:tc>
      </w:tr>
      <w:tr w:rsidR="00515718" w:rsidRPr="00515718" w14:paraId="1B1CD1A3"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5295AD9D"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Return on Equity</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32474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11.74%</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E5A0E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15.96%</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5A682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2.89%</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5B714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10.59%</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101545A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11.06%</w:t>
            </w:r>
          </w:p>
        </w:tc>
      </w:tr>
      <w:tr w:rsidR="00515718" w:rsidRPr="00515718" w14:paraId="694948A7"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3BA30AC5"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Net Profit Margin</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E0F60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23.16%</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4AD81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24.17%</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51904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3.89%</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19A38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14.62%</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65A4407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19.13%</w:t>
            </w:r>
          </w:p>
        </w:tc>
      </w:tr>
      <w:tr w:rsidR="00515718" w:rsidRPr="00515718" w14:paraId="5E57CD52"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3B751672"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Total Asset Turnover</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EADCD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0.33</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27249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0.42</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B43BD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0.38</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69099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0.38</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3FA2A9C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0.31</w:t>
            </w:r>
          </w:p>
        </w:tc>
      </w:tr>
      <w:tr w:rsidR="00515718" w:rsidRPr="00515718" w14:paraId="6D08C3C9"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696CAC10"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Financial leverage multiplier</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11C38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1.55</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8699C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1.57</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C59C8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1.97</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12432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1.91</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52A708C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1.89</w:t>
            </w:r>
          </w:p>
        </w:tc>
      </w:tr>
      <w:tr w:rsidR="00515718" w:rsidRPr="00515718" w14:paraId="06B19383"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044BDBC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DuPoint Identity</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3B082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11.74%</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B5B0F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15.96%</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52CF1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2.89%</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DEA92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10.59%</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090B045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11.06%</w:t>
            </w:r>
          </w:p>
        </w:tc>
      </w:tr>
      <w:tr w:rsidR="00515718" w:rsidRPr="00515718" w14:paraId="2D7105B7"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6574B445"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Return on Assets</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34B74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7.57%</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68BE9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10.17%</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649AD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1.46%</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95313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5.54%</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3F8D5E8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5.85%</w:t>
            </w:r>
          </w:p>
        </w:tc>
      </w:tr>
      <w:tr w:rsidR="00515718" w:rsidRPr="00515718" w14:paraId="101526A9"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63F503B0"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Gross Profit Margin</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9B585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67.73%</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9906E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66.44%</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AAAB1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64.36%</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71EBF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63.77%</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77764A8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66.02%</w:t>
            </w:r>
          </w:p>
        </w:tc>
      </w:tr>
      <w:tr w:rsidR="00515718" w:rsidRPr="00515718" w14:paraId="42C302A4"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1678D52C"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Operating Profit Margin</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96C02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24.76%</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56FA8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26.51%</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D5DCC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18.65%</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832F3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21.37%</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57B7D71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28.28%</w:t>
            </w:r>
          </w:p>
        </w:tc>
      </w:tr>
      <w:tr w:rsidR="00515718" w:rsidRPr="00515718" w14:paraId="3FA393C7"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4E492864"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Inventory Turnover</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9F63D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65.44</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C6DF7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58.53</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77AB5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54.37</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F479D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48.86</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32F36CD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12.38</w:t>
            </w:r>
          </w:p>
        </w:tc>
      </w:tr>
      <w:tr w:rsidR="00515718" w:rsidRPr="00515718" w14:paraId="7010BB9C"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0169160F"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Average Age of Inventory (Days)</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7FEBF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5.58</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8CCE4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6.24</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D36EA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6.71</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48370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7.47</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68751E1A"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29.48</w:t>
            </w:r>
          </w:p>
        </w:tc>
      </w:tr>
      <w:tr w:rsidR="00515718" w:rsidRPr="00515718" w14:paraId="640E8E8D"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4CFA4CA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Collection Period (Days)</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5B7B9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47.70</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A1DA7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50.37</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46524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47.75</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CE77B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40.43</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74D32A6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53.14</w:t>
            </w:r>
          </w:p>
        </w:tc>
      </w:tr>
      <w:tr w:rsidR="00515718" w:rsidRPr="00515718" w14:paraId="20E17098"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1D7FAF09"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Payables Period (Days)</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6AB0C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50.90</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0BB6B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36.69</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6CE20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47.14</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27B05D"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33.85</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23A58B6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65.40</w:t>
            </w:r>
          </w:p>
        </w:tc>
      </w:tr>
      <w:tr w:rsidR="00515718" w:rsidRPr="00515718" w14:paraId="4CE412AE"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03A934F7"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Fixed Asset Turnover </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618E9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25.65</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A927A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26.60</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630CD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23.87</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F109A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25.61</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720BE1D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24.68</w:t>
            </w:r>
          </w:p>
        </w:tc>
      </w:tr>
      <w:tr w:rsidR="00515718" w:rsidRPr="00515718" w14:paraId="3E38939A"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64AD76C0"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Times Interest Earned Ratio</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B17FE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17.86</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84F785"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14.20</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18761F" w14:textId="518EB4EB"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No Interest Exp</w:t>
            </w:r>
            <w:r w:rsidR="00A31D7C">
              <w:rPr>
                <w:rFonts w:ascii="Arial" w:eastAsia="Times New Roman" w:hAnsi="Arial" w:cs="Arial"/>
                <w:color w:val="000000"/>
                <w:sz w:val="20"/>
                <w:szCs w:val="20"/>
              </w:rPr>
              <w:t>ense</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783DB5" w14:textId="6ABF8278"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No Interest Exp</w:t>
            </w:r>
            <w:r w:rsidR="00A31D7C">
              <w:rPr>
                <w:rFonts w:ascii="Arial" w:eastAsia="Times New Roman" w:hAnsi="Arial" w:cs="Arial"/>
                <w:color w:val="000000"/>
                <w:sz w:val="20"/>
                <w:szCs w:val="20"/>
              </w:rPr>
              <w:t>ense</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79E4164D" w14:textId="4FFD3366"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No Interest Exp</w:t>
            </w:r>
            <w:r w:rsidR="00A31D7C">
              <w:rPr>
                <w:rFonts w:ascii="Arial" w:eastAsia="Times New Roman" w:hAnsi="Arial" w:cs="Arial"/>
                <w:color w:val="000000"/>
                <w:sz w:val="20"/>
                <w:szCs w:val="20"/>
              </w:rPr>
              <w:t>ense</w:t>
            </w:r>
          </w:p>
        </w:tc>
      </w:tr>
      <w:tr w:rsidR="00515718" w:rsidRPr="00515718" w14:paraId="4306F2BB"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1B835456"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Debt Ratio</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47357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35.47%</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DB085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36.32%</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DC0A4F"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49.31%</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8459B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47.75%</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3F733D64"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47.10%</w:t>
            </w:r>
          </w:p>
        </w:tc>
      </w:tr>
      <w:tr w:rsidR="00515718" w:rsidRPr="00515718" w14:paraId="55381711"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7C9ABBC2"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Debt-To-Equity Ratio</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21FAC9"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0.21</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9ECDD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0.24</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4C266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0.47</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6ACB3C"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0.54</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70039A01"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0.51</w:t>
            </w:r>
          </w:p>
        </w:tc>
      </w:tr>
      <w:tr w:rsidR="00515718" w:rsidRPr="00515718" w14:paraId="467A2DFE"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63D9C702"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Market Price per Share </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B47DC8" w14:textId="6953003C" w:rsidR="00515718" w:rsidRPr="00515718" w:rsidRDefault="00A31D7C" w:rsidP="00A31D7C">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515718" w:rsidRPr="00515718">
              <w:rPr>
                <w:rFonts w:ascii="Arial" w:eastAsia="Times New Roman" w:hAnsi="Arial" w:cs="Arial"/>
                <w:color w:val="000000"/>
                <w:sz w:val="20"/>
                <w:szCs w:val="20"/>
              </w:rPr>
              <w:t xml:space="preserve">                       </w:t>
            </w:r>
            <w:r>
              <w:rPr>
                <w:rFonts w:ascii="Arial" w:eastAsia="Times New Roman" w:hAnsi="Arial" w:cs="Arial"/>
                <w:color w:val="000000"/>
                <w:sz w:val="20"/>
                <w:szCs w:val="20"/>
              </w:rPr>
              <w:t>$</w:t>
            </w:r>
            <w:r w:rsidR="00515718" w:rsidRPr="00515718">
              <w:rPr>
                <w:rFonts w:ascii="Arial" w:eastAsia="Times New Roman" w:hAnsi="Arial" w:cs="Arial"/>
                <w:color w:val="000000"/>
                <w:sz w:val="20"/>
                <w:szCs w:val="20"/>
              </w:rPr>
              <w:t xml:space="preserve">59.42 </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4A2445" w14:textId="26C0AC72" w:rsidR="00515718" w:rsidRPr="00515718" w:rsidRDefault="00A31D7C" w:rsidP="00A31D7C">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515718" w:rsidRPr="00515718">
              <w:rPr>
                <w:rFonts w:ascii="Arial" w:eastAsia="Times New Roman" w:hAnsi="Arial" w:cs="Arial"/>
                <w:color w:val="000000"/>
                <w:sz w:val="20"/>
                <w:szCs w:val="20"/>
              </w:rPr>
              <w:t xml:space="preserve">                       </w:t>
            </w:r>
            <w:r>
              <w:rPr>
                <w:rFonts w:ascii="Arial" w:eastAsia="Times New Roman" w:hAnsi="Arial" w:cs="Arial"/>
                <w:color w:val="000000"/>
                <w:sz w:val="20"/>
                <w:szCs w:val="20"/>
              </w:rPr>
              <w:t>$</w:t>
            </w:r>
            <w:r w:rsidR="00515718" w:rsidRPr="00515718">
              <w:rPr>
                <w:rFonts w:ascii="Arial" w:eastAsia="Times New Roman" w:hAnsi="Arial" w:cs="Arial"/>
                <w:color w:val="000000"/>
                <w:sz w:val="20"/>
                <w:szCs w:val="20"/>
              </w:rPr>
              <w:t xml:space="preserve">46.20 </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5E30E7" w14:textId="019D016D" w:rsidR="00515718" w:rsidRPr="00515718" w:rsidRDefault="00A31D7C" w:rsidP="00A31D7C">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515718" w:rsidRPr="00515718">
              <w:rPr>
                <w:rFonts w:ascii="Arial" w:eastAsia="Times New Roman" w:hAnsi="Arial" w:cs="Arial"/>
                <w:color w:val="000000"/>
                <w:sz w:val="20"/>
                <w:szCs w:val="20"/>
              </w:rPr>
              <w:t xml:space="preserve">                       </w:t>
            </w:r>
            <w:r>
              <w:rPr>
                <w:rFonts w:ascii="Arial" w:eastAsia="Times New Roman" w:hAnsi="Arial" w:cs="Arial"/>
                <w:color w:val="000000"/>
                <w:sz w:val="20"/>
                <w:szCs w:val="20"/>
              </w:rPr>
              <w:t>$</w:t>
            </w:r>
            <w:r w:rsidR="00515718" w:rsidRPr="00515718">
              <w:rPr>
                <w:rFonts w:ascii="Arial" w:eastAsia="Times New Roman" w:hAnsi="Arial" w:cs="Arial"/>
                <w:color w:val="000000"/>
                <w:sz w:val="20"/>
                <w:szCs w:val="20"/>
              </w:rPr>
              <w:t xml:space="preserve">62.49 </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86CC7B" w14:textId="15D61921" w:rsidR="00515718" w:rsidRPr="00515718" w:rsidRDefault="00A31D7C" w:rsidP="00A31D7C">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515718" w:rsidRPr="00515718">
              <w:rPr>
                <w:rFonts w:ascii="Arial" w:eastAsia="Times New Roman" w:hAnsi="Arial" w:cs="Arial"/>
                <w:color w:val="000000"/>
                <w:sz w:val="20"/>
                <w:szCs w:val="20"/>
              </w:rPr>
              <w:t xml:space="preserve">                       </w:t>
            </w:r>
            <w:r>
              <w:rPr>
                <w:rFonts w:ascii="Arial" w:eastAsia="Times New Roman" w:hAnsi="Arial" w:cs="Arial"/>
                <w:color w:val="000000"/>
                <w:sz w:val="20"/>
                <w:szCs w:val="20"/>
              </w:rPr>
              <w:t>$</w:t>
            </w:r>
            <w:r w:rsidR="00515718" w:rsidRPr="00515718">
              <w:rPr>
                <w:rFonts w:ascii="Arial" w:eastAsia="Times New Roman" w:hAnsi="Arial" w:cs="Arial"/>
                <w:color w:val="000000"/>
                <w:sz w:val="20"/>
                <w:szCs w:val="20"/>
              </w:rPr>
              <w:t xml:space="preserve">35.42 </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0C5F7E3A" w14:textId="3A176270" w:rsidR="00515718" w:rsidRPr="00515718" w:rsidRDefault="00A31D7C" w:rsidP="00A31D7C">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515718" w:rsidRPr="00515718">
              <w:rPr>
                <w:rFonts w:ascii="Arial" w:eastAsia="Times New Roman" w:hAnsi="Arial" w:cs="Arial"/>
                <w:color w:val="000000"/>
                <w:sz w:val="20"/>
                <w:szCs w:val="20"/>
              </w:rPr>
              <w:t xml:space="preserve">                       </w:t>
            </w:r>
            <w:r>
              <w:rPr>
                <w:rFonts w:ascii="Arial" w:eastAsia="Times New Roman" w:hAnsi="Arial" w:cs="Arial"/>
                <w:color w:val="000000"/>
                <w:sz w:val="20"/>
                <w:szCs w:val="20"/>
              </w:rPr>
              <w:t>$</w:t>
            </w:r>
            <w:r w:rsidR="00515718" w:rsidRPr="00515718">
              <w:rPr>
                <w:rFonts w:ascii="Arial" w:eastAsia="Times New Roman" w:hAnsi="Arial" w:cs="Arial"/>
                <w:color w:val="000000"/>
                <w:sz w:val="20"/>
                <w:szCs w:val="20"/>
              </w:rPr>
              <w:t xml:space="preserve">37.67 </w:t>
            </w:r>
          </w:p>
        </w:tc>
      </w:tr>
      <w:tr w:rsidR="00515718" w:rsidRPr="00515718" w14:paraId="03E7F15B"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58434895"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Book price per share </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4457C5" w14:textId="2EFA56E6" w:rsidR="00515718" w:rsidRPr="00515718" w:rsidRDefault="00A31D7C" w:rsidP="00A31D7C">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515718" w:rsidRPr="00515718">
              <w:rPr>
                <w:rFonts w:ascii="Arial" w:eastAsia="Times New Roman" w:hAnsi="Arial" w:cs="Arial"/>
                <w:color w:val="000000"/>
                <w:sz w:val="20"/>
                <w:szCs w:val="20"/>
              </w:rPr>
              <w:t xml:space="preserve">                       </w:t>
            </w:r>
            <w:r>
              <w:rPr>
                <w:rFonts w:ascii="Arial" w:eastAsia="Times New Roman" w:hAnsi="Arial" w:cs="Arial"/>
                <w:color w:val="000000"/>
                <w:sz w:val="20"/>
                <w:szCs w:val="20"/>
              </w:rPr>
              <w:t>$</w:t>
            </w:r>
            <w:r w:rsidR="00515718" w:rsidRPr="00515718">
              <w:rPr>
                <w:rFonts w:ascii="Arial" w:eastAsia="Times New Roman" w:hAnsi="Arial" w:cs="Arial"/>
                <w:color w:val="000000"/>
                <w:sz w:val="20"/>
                <w:szCs w:val="20"/>
              </w:rPr>
              <w:t xml:space="preserve">16.66 </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E7D9A9" w14:textId="63B110F1" w:rsidR="00515718" w:rsidRPr="00515718" w:rsidRDefault="00A31D7C" w:rsidP="00A31D7C">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515718" w:rsidRPr="00515718">
              <w:rPr>
                <w:rFonts w:ascii="Arial" w:eastAsia="Times New Roman" w:hAnsi="Arial" w:cs="Arial"/>
                <w:color w:val="000000"/>
                <w:sz w:val="20"/>
                <w:szCs w:val="20"/>
              </w:rPr>
              <w:t xml:space="preserve">                       </w:t>
            </w:r>
            <w:r>
              <w:rPr>
                <w:rFonts w:ascii="Arial" w:eastAsia="Times New Roman" w:hAnsi="Arial" w:cs="Arial"/>
                <w:color w:val="000000"/>
                <w:sz w:val="20"/>
                <w:szCs w:val="20"/>
              </w:rPr>
              <w:t>$</w:t>
            </w:r>
            <w:r w:rsidR="00515718" w:rsidRPr="00515718">
              <w:rPr>
                <w:rFonts w:ascii="Arial" w:eastAsia="Times New Roman" w:hAnsi="Arial" w:cs="Arial"/>
                <w:color w:val="000000"/>
                <w:sz w:val="20"/>
                <w:szCs w:val="20"/>
              </w:rPr>
              <w:t xml:space="preserve">14.88 </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9611F8" w14:textId="2FCCA5E6" w:rsidR="00515718" w:rsidRPr="00515718" w:rsidRDefault="00A31D7C" w:rsidP="00A31D7C">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515718" w:rsidRPr="00515718">
              <w:rPr>
                <w:rFonts w:ascii="Arial" w:eastAsia="Times New Roman" w:hAnsi="Arial" w:cs="Arial"/>
                <w:color w:val="000000"/>
                <w:sz w:val="20"/>
                <w:szCs w:val="20"/>
              </w:rPr>
              <w:t xml:space="preserve">                       </w:t>
            </w:r>
            <w:r>
              <w:rPr>
                <w:rFonts w:ascii="Arial" w:eastAsia="Times New Roman" w:hAnsi="Arial" w:cs="Arial"/>
                <w:color w:val="000000"/>
                <w:sz w:val="20"/>
                <w:szCs w:val="20"/>
              </w:rPr>
              <w:t>$</w:t>
            </w:r>
            <w:r w:rsidR="00515718" w:rsidRPr="00515718">
              <w:rPr>
                <w:rFonts w:ascii="Arial" w:eastAsia="Times New Roman" w:hAnsi="Arial" w:cs="Arial"/>
                <w:color w:val="000000"/>
                <w:sz w:val="20"/>
                <w:szCs w:val="20"/>
              </w:rPr>
              <w:t xml:space="preserve">12.49 </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3C2E4F" w14:textId="7890BF41" w:rsidR="00515718" w:rsidRPr="00515718" w:rsidRDefault="00A31D7C" w:rsidP="00A31D7C">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515718" w:rsidRPr="00515718">
              <w:rPr>
                <w:rFonts w:ascii="Arial" w:eastAsia="Times New Roman" w:hAnsi="Arial" w:cs="Arial"/>
                <w:color w:val="000000"/>
                <w:sz w:val="20"/>
                <w:szCs w:val="20"/>
              </w:rPr>
              <w:t xml:space="preserve">                       </w:t>
            </w:r>
            <w:r>
              <w:rPr>
                <w:rFonts w:ascii="Arial" w:eastAsia="Times New Roman" w:hAnsi="Arial" w:cs="Arial"/>
                <w:color w:val="000000"/>
                <w:sz w:val="20"/>
                <w:szCs w:val="20"/>
              </w:rPr>
              <w:t>$</w:t>
            </w:r>
            <w:r w:rsidR="00515718" w:rsidRPr="00515718">
              <w:rPr>
                <w:rFonts w:ascii="Arial" w:eastAsia="Times New Roman" w:hAnsi="Arial" w:cs="Arial"/>
                <w:color w:val="000000"/>
                <w:sz w:val="20"/>
                <w:szCs w:val="20"/>
              </w:rPr>
              <w:t xml:space="preserve">12.23 </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18C97706" w14:textId="57A70439" w:rsidR="00515718" w:rsidRPr="00515718" w:rsidRDefault="00A31D7C" w:rsidP="00A31D7C">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515718" w:rsidRPr="00515718">
              <w:rPr>
                <w:rFonts w:ascii="Arial" w:eastAsia="Times New Roman" w:hAnsi="Arial" w:cs="Arial"/>
                <w:color w:val="000000"/>
                <w:sz w:val="20"/>
                <w:szCs w:val="20"/>
              </w:rPr>
              <w:t xml:space="preserve">                       </w:t>
            </w:r>
            <w:r>
              <w:rPr>
                <w:rFonts w:ascii="Arial" w:eastAsia="Times New Roman" w:hAnsi="Arial" w:cs="Arial"/>
                <w:color w:val="000000"/>
                <w:sz w:val="20"/>
                <w:szCs w:val="20"/>
              </w:rPr>
              <w:t>$</w:t>
            </w:r>
            <w:r w:rsidR="00515718" w:rsidRPr="00515718">
              <w:rPr>
                <w:rFonts w:ascii="Arial" w:eastAsia="Times New Roman" w:hAnsi="Arial" w:cs="Arial"/>
                <w:color w:val="000000"/>
                <w:sz w:val="20"/>
                <w:szCs w:val="20"/>
              </w:rPr>
              <w:t xml:space="preserve">10.98 </w:t>
            </w:r>
          </w:p>
        </w:tc>
      </w:tr>
      <w:tr w:rsidR="00515718" w:rsidRPr="00515718" w14:paraId="42547CF0"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DCE6F1" w:fill="DCE6F1"/>
            <w:noWrap/>
            <w:vAlign w:val="bottom"/>
            <w:hideMark/>
          </w:tcPr>
          <w:p w14:paraId="7422F12B"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Market to Book ratio</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8AF8E7"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3.57</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7BA08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3.11</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CABA42"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5.00</w:t>
            </w:r>
          </w:p>
        </w:tc>
        <w:tc>
          <w:tcPr>
            <w:tcW w:w="15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582D9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2.90</w:t>
            </w:r>
          </w:p>
        </w:tc>
        <w:tc>
          <w:tcPr>
            <w:tcW w:w="1584" w:type="dxa"/>
            <w:tcBorders>
              <w:top w:val="single" w:sz="4" w:space="0" w:color="FFFFFF"/>
              <w:left w:val="single" w:sz="4" w:space="0" w:color="FFFFFF"/>
              <w:bottom w:val="single" w:sz="4" w:space="0" w:color="FFFFFF"/>
              <w:right w:val="nil"/>
            </w:tcBorders>
            <w:shd w:val="clear" w:color="DCE6F1" w:fill="DCE6F1"/>
            <w:noWrap/>
            <w:vAlign w:val="bottom"/>
            <w:hideMark/>
          </w:tcPr>
          <w:p w14:paraId="57D931B3"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3.43</w:t>
            </w:r>
          </w:p>
        </w:tc>
      </w:tr>
      <w:tr w:rsidR="00515718" w:rsidRPr="00515718" w14:paraId="626ED8C2" w14:textId="77777777" w:rsidTr="00515718">
        <w:trPr>
          <w:trHeight w:val="255"/>
        </w:trPr>
        <w:tc>
          <w:tcPr>
            <w:tcW w:w="1440" w:type="dxa"/>
            <w:tcBorders>
              <w:top w:val="single" w:sz="4" w:space="0" w:color="FFFFFF"/>
              <w:left w:val="nil"/>
              <w:bottom w:val="single" w:sz="4" w:space="0" w:color="FFFFFF"/>
              <w:right w:val="single" w:sz="4" w:space="0" w:color="FFFFFF"/>
            </w:tcBorders>
            <w:shd w:val="clear" w:color="B8CCE4" w:fill="B8CCE4"/>
            <w:noWrap/>
            <w:vAlign w:val="bottom"/>
            <w:hideMark/>
          </w:tcPr>
          <w:p w14:paraId="3E49E605" w14:textId="28DAC68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 xml:space="preserve">Market </w:t>
            </w:r>
            <w:r w:rsidR="00FA2F96" w:rsidRPr="00515718">
              <w:rPr>
                <w:rFonts w:ascii="Arial" w:eastAsia="Times New Roman" w:hAnsi="Arial" w:cs="Arial"/>
                <w:color w:val="000000"/>
                <w:sz w:val="20"/>
                <w:szCs w:val="20"/>
              </w:rPr>
              <w:t>capitalization</w:t>
            </w:r>
            <w:r w:rsidRPr="00515718">
              <w:rPr>
                <w:rFonts w:ascii="Arial" w:eastAsia="Times New Roman" w:hAnsi="Arial" w:cs="Arial"/>
                <w:color w:val="000000"/>
                <w:sz w:val="20"/>
                <w:szCs w:val="20"/>
              </w:rPr>
              <w:t xml:space="preserve"> </w:t>
            </w:r>
            <w:r w:rsidRPr="00515718">
              <w:rPr>
                <w:rFonts w:ascii="Arial" w:eastAsia="Times New Roman" w:hAnsi="Arial" w:cs="Arial"/>
                <w:color w:val="000000"/>
                <w:sz w:val="20"/>
                <w:szCs w:val="20"/>
              </w:rPr>
              <w:lastRenderedPageBreak/>
              <w:t xml:space="preserve">(Market value of </w:t>
            </w:r>
            <w:r w:rsidR="00FA2F96" w:rsidRPr="00515718">
              <w:rPr>
                <w:rFonts w:ascii="Arial" w:eastAsia="Times New Roman" w:hAnsi="Arial" w:cs="Arial"/>
                <w:color w:val="000000"/>
                <w:sz w:val="20"/>
                <w:szCs w:val="20"/>
              </w:rPr>
              <w:t>equity</w:t>
            </w:r>
            <w:r w:rsidRPr="00515718">
              <w:rPr>
                <w:rFonts w:ascii="Arial" w:eastAsia="Times New Roman" w:hAnsi="Arial" w:cs="Arial"/>
                <w:color w:val="000000"/>
                <w:sz w:val="20"/>
                <w:szCs w:val="20"/>
              </w:rPr>
              <w:t>)</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0A17B2" w14:textId="392900E1" w:rsidR="00515718" w:rsidRPr="00515718" w:rsidRDefault="00515718" w:rsidP="00515718">
            <w:pPr>
              <w:spacing w:after="0" w:line="240" w:lineRule="auto"/>
              <w:jc w:val="center"/>
              <w:rPr>
                <w:rFonts w:ascii="Arial" w:eastAsia="Times New Roman" w:hAnsi="Arial" w:cs="Arial"/>
                <w:color w:val="000000"/>
                <w:sz w:val="20"/>
                <w:szCs w:val="20"/>
              </w:rPr>
            </w:pPr>
            <w:r w:rsidRPr="00515718">
              <w:rPr>
                <w:rFonts w:ascii="Arial" w:eastAsia="Times New Roman" w:hAnsi="Arial" w:cs="Arial"/>
                <w:color w:val="000000"/>
                <w:sz w:val="20"/>
                <w:szCs w:val="20"/>
              </w:rPr>
              <w:lastRenderedPageBreak/>
              <w:t>$          45,679,729.48</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3BE541" w14:textId="0C515A98" w:rsidR="00515718" w:rsidRPr="00515718" w:rsidRDefault="00515718" w:rsidP="00515718">
            <w:pPr>
              <w:spacing w:after="0" w:line="240" w:lineRule="auto"/>
              <w:jc w:val="center"/>
              <w:rPr>
                <w:rFonts w:ascii="Arial" w:eastAsia="Times New Roman" w:hAnsi="Arial" w:cs="Arial"/>
                <w:color w:val="000000"/>
                <w:sz w:val="20"/>
                <w:szCs w:val="20"/>
              </w:rPr>
            </w:pPr>
            <w:r w:rsidRPr="00515718">
              <w:rPr>
                <w:rFonts w:ascii="Arial" w:eastAsia="Times New Roman" w:hAnsi="Arial" w:cs="Arial"/>
                <w:color w:val="000000"/>
                <w:sz w:val="20"/>
                <w:szCs w:val="20"/>
              </w:rPr>
              <w:t>$          35,269,889.42</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D69D11" w14:textId="1D69EF7A" w:rsidR="00515718" w:rsidRPr="00515718" w:rsidRDefault="00515718" w:rsidP="00515718">
            <w:pPr>
              <w:spacing w:after="0" w:line="240" w:lineRule="auto"/>
              <w:jc w:val="center"/>
              <w:rPr>
                <w:rFonts w:ascii="Arial" w:eastAsia="Times New Roman" w:hAnsi="Arial" w:cs="Arial"/>
                <w:color w:val="000000"/>
                <w:sz w:val="20"/>
                <w:szCs w:val="20"/>
              </w:rPr>
            </w:pPr>
            <w:r w:rsidRPr="00515718">
              <w:rPr>
                <w:rFonts w:ascii="Arial" w:eastAsia="Times New Roman" w:hAnsi="Arial" w:cs="Arial"/>
                <w:color w:val="000000"/>
                <w:sz w:val="20"/>
                <w:szCs w:val="20"/>
              </w:rPr>
              <w:t>$          47,336,499.64</w:t>
            </w:r>
          </w:p>
        </w:tc>
        <w:tc>
          <w:tcPr>
            <w:tcW w:w="15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5486B2" w14:textId="2D1A7C1C" w:rsidR="00515718" w:rsidRPr="00515718" w:rsidRDefault="00515718" w:rsidP="00515718">
            <w:pPr>
              <w:spacing w:after="0" w:line="240" w:lineRule="auto"/>
              <w:jc w:val="center"/>
              <w:rPr>
                <w:rFonts w:ascii="Arial" w:eastAsia="Times New Roman" w:hAnsi="Arial" w:cs="Arial"/>
                <w:color w:val="000000"/>
                <w:sz w:val="20"/>
                <w:szCs w:val="20"/>
              </w:rPr>
            </w:pPr>
            <w:r w:rsidRPr="00515718">
              <w:rPr>
                <w:rFonts w:ascii="Arial" w:eastAsia="Times New Roman" w:hAnsi="Arial" w:cs="Arial"/>
                <w:color w:val="000000"/>
                <w:sz w:val="20"/>
                <w:szCs w:val="20"/>
              </w:rPr>
              <w:t>$          26,405,135.30</w:t>
            </w:r>
          </w:p>
        </w:tc>
        <w:tc>
          <w:tcPr>
            <w:tcW w:w="1584" w:type="dxa"/>
            <w:tcBorders>
              <w:top w:val="single" w:sz="4" w:space="0" w:color="FFFFFF"/>
              <w:left w:val="single" w:sz="4" w:space="0" w:color="FFFFFF"/>
              <w:bottom w:val="single" w:sz="4" w:space="0" w:color="FFFFFF"/>
              <w:right w:val="nil"/>
            </w:tcBorders>
            <w:shd w:val="clear" w:color="B8CCE4" w:fill="B8CCE4"/>
            <w:noWrap/>
            <w:vAlign w:val="bottom"/>
            <w:hideMark/>
          </w:tcPr>
          <w:p w14:paraId="37C02C43" w14:textId="72EB01EF" w:rsidR="00515718" w:rsidRPr="00515718" w:rsidRDefault="00515718" w:rsidP="00515718">
            <w:pPr>
              <w:spacing w:after="0" w:line="240" w:lineRule="auto"/>
              <w:jc w:val="center"/>
              <w:rPr>
                <w:rFonts w:ascii="Arial" w:eastAsia="Times New Roman" w:hAnsi="Arial" w:cs="Arial"/>
                <w:color w:val="000000"/>
                <w:sz w:val="20"/>
                <w:szCs w:val="20"/>
              </w:rPr>
            </w:pPr>
            <w:r w:rsidRPr="00515718">
              <w:rPr>
                <w:rFonts w:ascii="Arial" w:eastAsia="Times New Roman" w:hAnsi="Arial" w:cs="Arial"/>
                <w:color w:val="000000"/>
                <w:sz w:val="20"/>
                <w:szCs w:val="20"/>
              </w:rPr>
              <w:t>$          27,668,715.54</w:t>
            </w:r>
          </w:p>
        </w:tc>
      </w:tr>
      <w:tr w:rsidR="00515718" w:rsidRPr="00515718" w14:paraId="15733413" w14:textId="77777777" w:rsidTr="00515718">
        <w:trPr>
          <w:trHeight w:val="255"/>
        </w:trPr>
        <w:tc>
          <w:tcPr>
            <w:tcW w:w="1440" w:type="dxa"/>
            <w:tcBorders>
              <w:top w:val="single" w:sz="4" w:space="0" w:color="FFFFFF"/>
              <w:left w:val="nil"/>
              <w:bottom w:val="nil"/>
              <w:right w:val="single" w:sz="4" w:space="0" w:color="FFFFFF"/>
            </w:tcBorders>
            <w:shd w:val="clear" w:color="DCE6F1" w:fill="DCE6F1"/>
            <w:noWrap/>
            <w:vAlign w:val="bottom"/>
            <w:hideMark/>
          </w:tcPr>
          <w:p w14:paraId="517E832F" w14:textId="77777777" w:rsidR="00515718" w:rsidRPr="00515718" w:rsidRDefault="00515718" w:rsidP="00515718">
            <w:pPr>
              <w:spacing w:after="0" w:line="240" w:lineRule="auto"/>
              <w:rPr>
                <w:rFonts w:ascii="Arial" w:eastAsia="Times New Roman" w:hAnsi="Arial" w:cs="Arial"/>
                <w:color w:val="000000"/>
                <w:sz w:val="20"/>
                <w:szCs w:val="20"/>
              </w:rPr>
            </w:pPr>
            <w:r w:rsidRPr="00515718">
              <w:rPr>
                <w:rFonts w:ascii="Arial" w:eastAsia="Times New Roman" w:hAnsi="Arial" w:cs="Arial"/>
                <w:color w:val="000000"/>
                <w:sz w:val="20"/>
                <w:szCs w:val="20"/>
              </w:rPr>
              <w:t>Price to Earnings Ratio (P/E Ratio)</w:t>
            </w:r>
          </w:p>
        </w:tc>
        <w:tc>
          <w:tcPr>
            <w:tcW w:w="1584" w:type="dxa"/>
            <w:tcBorders>
              <w:top w:val="single" w:sz="4" w:space="0" w:color="FFFFFF"/>
              <w:left w:val="single" w:sz="4" w:space="0" w:color="FFFFFF"/>
              <w:bottom w:val="nil"/>
              <w:right w:val="single" w:sz="4" w:space="0" w:color="FFFFFF"/>
            </w:tcBorders>
            <w:shd w:val="clear" w:color="DCE6F1" w:fill="DCE6F1"/>
            <w:noWrap/>
            <w:vAlign w:val="bottom"/>
            <w:hideMark/>
          </w:tcPr>
          <w:p w14:paraId="7D7B93D0"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30.47</w:t>
            </w:r>
          </w:p>
        </w:tc>
        <w:tc>
          <w:tcPr>
            <w:tcW w:w="1584" w:type="dxa"/>
            <w:tcBorders>
              <w:top w:val="single" w:sz="4" w:space="0" w:color="FFFFFF"/>
              <w:left w:val="single" w:sz="4" w:space="0" w:color="FFFFFF"/>
              <w:bottom w:val="nil"/>
              <w:right w:val="single" w:sz="4" w:space="0" w:color="FFFFFF"/>
            </w:tcBorders>
            <w:shd w:val="clear" w:color="DCE6F1" w:fill="DCE6F1"/>
            <w:noWrap/>
            <w:vAlign w:val="bottom"/>
            <w:hideMark/>
          </w:tcPr>
          <w:p w14:paraId="08E2886E"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19.66</w:t>
            </w:r>
          </w:p>
        </w:tc>
        <w:tc>
          <w:tcPr>
            <w:tcW w:w="1584" w:type="dxa"/>
            <w:tcBorders>
              <w:top w:val="single" w:sz="4" w:space="0" w:color="FFFFFF"/>
              <w:left w:val="single" w:sz="4" w:space="0" w:color="FFFFFF"/>
              <w:bottom w:val="nil"/>
              <w:right w:val="single" w:sz="4" w:space="0" w:color="FFFFFF"/>
            </w:tcBorders>
            <w:shd w:val="clear" w:color="DCE6F1" w:fill="DCE6F1"/>
            <w:noWrap/>
            <w:vAlign w:val="bottom"/>
            <w:hideMark/>
          </w:tcPr>
          <w:p w14:paraId="75988CCB"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173.58</w:t>
            </w:r>
          </w:p>
        </w:tc>
        <w:tc>
          <w:tcPr>
            <w:tcW w:w="1584" w:type="dxa"/>
            <w:tcBorders>
              <w:top w:val="single" w:sz="4" w:space="0" w:color="FFFFFF"/>
              <w:left w:val="single" w:sz="4" w:space="0" w:color="FFFFFF"/>
              <w:bottom w:val="nil"/>
              <w:right w:val="single" w:sz="4" w:space="0" w:color="FFFFFF"/>
            </w:tcBorders>
            <w:shd w:val="clear" w:color="DCE6F1" w:fill="DCE6F1"/>
            <w:noWrap/>
            <w:vAlign w:val="bottom"/>
            <w:hideMark/>
          </w:tcPr>
          <w:p w14:paraId="785E47B8"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27.67</w:t>
            </w:r>
          </w:p>
        </w:tc>
        <w:tc>
          <w:tcPr>
            <w:tcW w:w="1584" w:type="dxa"/>
            <w:tcBorders>
              <w:top w:val="single" w:sz="4" w:space="0" w:color="FFFFFF"/>
              <w:left w:val="single" w:sz="4" w:space="0" w:color="FFFFFF"/>
              <w:bottom w:val="nil"/>
              <w:right w:val="nil"/>
            </w:tcBorders>
            <w:shd w:val="clear" w:color="DCE6F1" w:fill="DCE6F1"/>
            <w:noWrap/>
            <w:vAlign w:val="bottom"/>
            <w:hideMark/>
          </w:tcPr>
          <w:p w14:paraId="53F26756" w14:textId="77777777" w:rsidR="00515718" w:rsidRPr="00515718" w:rsidRDefault="00515718" w:rsidP="00515718">
            <w:pPr>
              <w:spacing w:after="0" w:line="240" w:lineRule="auto"/>
              <w:jc w:val="right"/>
              <w:rPr>
                <w:rFonts w:ascii="Arial" w:eastAsia="Times New Roman" w:hAnsi="Arial" w:cs="Arial"/>
                <w:color w:val="000000"/>
                <w:sz w:val="20"/>
                <w:szCs w:val="20"/>
              </w:rPr>
            </w:pPr>
            <w:r w:rsidRPr="00515718">
              <w:rPr>
                <w:rFonts w:ascii="Arial" w:eastAsia="Times New Roman" w:hAnsi="Arial" w:cs="Arial"/>
                <w:color w:val="000000"/>
                <w:sz w:val="20"/>
                <w:szCs w:val="20"/>
              </w:rPr>
              <w:t>31.66</w:t>
            </w:r>
          </w:p>
        </w:tc>
      </w:tr>
    </w:tbl>
    <w:p w14:paraId="74D6D681" w14:textId="694E546D" w:rsidR="00AB006D" w:rsidRPr="003A0A70" w:rsidRDefault="00AB006D" w:rsidP="0084121B">
      <w:pPr>
        <w:shd w:val="clear" w:color="auto" w:fill="FFFFFF"/>
        <w:spacing w:line="480" w:lineRule="auto"/>
        <w:ind w:hanging="330"/>
        <w:rPr>
          <w:rFonts w:ascii="Times New Roman" w:eastAsia="Times New Roman" w:hAnsi="Times New Roman" w:cs="Times New Roman"/>
          <w:color w:val="333333"/>
          <w:sz w:val="24"/>
          <w:szCs w:val="24"/>
        </w:rPr>
      </w:pPr>
    </w:p>
    <w:p w14:paraId="58FF1DF5" w14:textId="7ABA3978" w:rsidR="00A449EF" w:rsidRPr="003A0A70" w:rsidRDefault="00A449EF" w:rsidP="0084121B">
      <w:pPr>
        <w:shd w:val="clear" w:color="auto" w:fill="FFFFFF"/>
        <w:spacing w:line="480" w:lineRule="auto"/>
        <w:ind w:hanging="330"/>
        <w:rPr>
          <w:rFonts w:ascii="Times New Roman" w:eastAsia="Times New Roman" w:hAnsi="Times New Roman" w:cs="Times New Roman"/>
          <w:color w:val="333333"/>
          <w:sz w:val="24"/>
          <w:szCs w:val="24"/>
        </w:rPr>
      </w:pPr>
    </w:p>
    <w:p w14:paraId="21D49D1C" w14:textId="553B99A4" w:rsidR="00637687" w:rsidRPr="003A0A70" w:rsidRDefault="00637687" w:rsidP="0084121B">
      <w:pPr>
        <w:shd w:val="clear" w:color="auto" w:fill="FFFFFF"/>
        <w:spacing w:line="480" w:lineRule="auto"/>
        <w:ind w:hanging="330"/>
        <w:rPr>
          <w:rFonts w:ascii="Times New Roman" w:eastAsia="Times New Roman" w:hAnsi="Times New Roman" w:cs="Times New Roman"/>
          <w:color w:val="333333"/>
          <w:sz w:val="24"/>
          <w:szCs w:val="24"/>
        </w:rPr>
      </w:pPr>
    </w:p>
    <w:p w14:paraId="1B62E17E" w14:textId="6A821BE4" w:rsidR="00AB6B2A" w:rsidRPr="003A0A70" w:rsidRDefault="00AB6B2A" w:rsidP="0016642C">
      <w:pPr>
        <w:shd w:val="clear" w:color="auto" w:fill="FFFFFF"/>
        <w:spacing w:line="480" w:lineRule="auto"/>
        <w:rPr>
          <w:rFonts w:ascii="Times New Roman" w:eastAsia="Times New Roman" w:hAnsi="Times New Roman" w:cs="Times New Roman"/>
          <w:color w:val="333333"/>
          <w:sz w:val="24"/>
          <w:szCs w:val="24"/>
        </w:rPr>
      </w:pPr>
    </w:p>
    <w:p w14:paraId="3B716CB3" w14:textId="1C74E893" w:rsidR="00AB6B2A" w:rsidRPr="003A0A70" w:rsidRDefault="00AB6B2A" w:rsidP="0084121B">
      <w:pPr>
        <w:shd w:val="clear" w:color="auto" w:fill="FFFFFF"/>
        <w:spacing w:line="480" w:lineRule="auto"/>
        <w:ind w:hanging="330"/>
        <w:rPr>
          <w:rFonts w:ascii="Times New Roman" w:eastAsia="Times New Roman" w:hAnsi="Times New Roman" w:cs="Times New Roman"/>
          <w:color w:val="333333"/>
          <w:sz w:val="24"/>
          <w:szCs w:val="24"/>
        </w:rPr>
      </w:pPr>
    </w:p>
    <w:p w14:paraId="0963E546" w14:textId="681650BF" w:rsidR="00AF70AC" w:rsidRPr="003A0A70" w:rsidRDefault="00AF70AC" w:rsidP="004D7706">
      <w:pPr>
        <w:rPr>
          <w:rFonts w:ascii="Times New Roman" w:hAnsi="Times New Roman" w:cs="Times New Roman"/>
          <w:color w:val="000000" w:themeColor="text1"/>
          <w:sz w:val="24"/>
          <w:szCs w:val="24"/>
        </w:rPr>
      </w:pPr>
    </w:p>
    <w:p w14:paraId="585F6487" w14:textId="77777777" w:rsidR="00AF70AC" w:rsidRPr="003A0A70" w:rsidRDefault="00AF70AC" w:rsidP="004D7706">
      <w:pPr>
        <w:rPr>
          <w:rFonts w:ascii="Times New Roman" w:hAnsi="Times New Roman" w:cs="Times New Roman"/>
          <w:color w:val="000000" w:themeColor="text1"/>
          <w:sz w:val="24"/>
          <w:szCs w:val="24"/>
        </w:rPr>
      </w:pPr>
    </w:p>
    <w:p w14:paraId="5EA06E6D" w14:textId="77777777" w:rsidR="00AF70AC" w:rsidRPr="003A0A70" w:rsidRDefault="00AF70AC" w:rsidP="004D7706">
      <w:pPr>
        <w:rPr>
          <w:rFonts w:ascii="Times New Roman" w:hAnsi="Times New Roman" w:cs="Times New Roman"/>
          <w:color w:val="000000" w:themeColor="text1"/>
          <w:sz w:val="24"/>
          <w:szCs w:val="24"/>
        </w:rPr>
      </w:pPr>
    </w:p>
    <w:p w14:paraId="4BB92E34" w14:textId="77777777" w:rsidR="00AF70AC" w:rsidRPr="003A0A70" w:rsidRDefault="00AF70AC" w:rsidP="004D7706">
      <w:pPr>
        <w:rPr>
          <w:rFonts w:ascii="Times New Roman" w:hAnsi="Times New Roman" w:cs="Times New Roman"/>
          <w:color w:val="000000" w:themeColor="text1"/>
          <w:sz w:val="24"/>
          <w:szCs w:val="24"/>
        </w:rPr>
      </w:pPr>
    </w:p>
    <w:p w14:paraId="1A2E5C3B" w14:textId="77777777" w:rsidR="00AF70AC" w:rsidRPr="003A0A70" w:rsidRDefault="00AF70AC" w:rsidP="004D7706">
      <w:pPr>
        <w:rPr>
          <w:rFonts w:ascii="Times New Roman" w:hAnsi="Times New Roman" w:cs="Times New Roman"/>
          <w:color w:val="000000" w:themeColor="text1"/>
          <w:sz w:val="24"/>
          <w:szCs w:val="24"/>
        </w:rPr>
      </w:pPr>
    </w:p>
    <w:p w14:paraId="7F950704" w14:textId="77777777" w:rsidR="00AF70AC" w:rsidRPr="003A0A70" w:rsidRDefault="00AF70AC" w:rsidP="004D7706">
      <w:pPr>
        <w:rPr>
          <w:rFonts w:ascii="Times New Roman" w:hAnsi="Times New Roman" w:cs="Times New Roman"/>
          <w:color w:val="000000" w:themeColor="text1"/>
          <w:sz w:val="24"/>
          <w:szCs w:val="24"/>
        </w:rPr>
      </w:pPr>
    </w:p>
    <w:sectPr w:rsidR="00AF70AC" w:rsidRPr="003A0A70" w:rsidSect="00F10B33">
      <w:headerReference w:type="default" r:id="rId15"/>
      <w:headerReference w:type="first" r:id="rId16"/>
      <w:pgSz w:w="12240" w:h="15840"/>
      <w:pgMar w:top="1440" w:right="144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226C7D" w16cid:durableId="223EB982"/>
  <w16cid:commentId w16cid:paraId="72127778" w16cid:durableId="223EBA1D"/>
  <w16cid:commentId w16cid:paraId="680EAC03" w16cid:durableId="223EBA77"/>
  <w16cid:commentId w16cid:paraId="66434C7E" w16cid:durableId="223EBAF2"/>
  <w16cid:commentId w16cid:paraId="1AFF87FE" w16cid:durableId="223EBB23"/>
  <w16cid:commentId w16cid:paraId="6447038C" w16cid:durableId="223EBC9B"/>
  <w16cid:commentId w16cid:paraId="09278150" w16cid:durableId="223EBD5C"/>
  <w16cid:commentId w16cid:paraId="2E934470" w16cid:durableId="223EBDAD"/>
  <w16cid:commentId w16cid:paraId="0449B4F0" w16cid:durableId="223EBDD2"/>
  <w16cid:commentId w16cid:paraId="2EB68812" w16cid:durableId="223EBDEA"/>
  <w16cid:commentId w16cid:paraId="72C8712A" w16cid:durableId="223EC0C2"/>
  <w16cid:commentId w16cid:paraId="5453EB9F" w16cid:durableId="223EBE78"/>
  <w16cid:commentId w16cid:paraId="4F32E836" w16cid:durableId="223EBE9F"/>
  <w16cid:commentId w16cid:paraId="4E8F851F" w16cid:durableId="223EBEDD"/>
  <w16cid:commentId w16cid:paraId="18DF7B38" w16cid:durableId="223EBF0B"/>
  <w16cid:commentId w16cid:paraId="6A052FEE" w16cid:durableId="223EBF25"/>
  <w16cid:commentId w16cid:paraId="5F0D07CF" w16cid:durableId="223EBF85"/>
  <w16cid:commentId w16cid:paraId="79B74E4E" w16cid:durableId="223EBFA8"/>
  <w16cid:commentId w16cid:paraId="1F36C649" w16cid:durableId="223EBFCD"/>
  <w16cid:commentId w16cid:paraId="1BDD73CD" w16cid:durableId="223EC00C"/>
  <w16cid:commentId w16cid:paraId="55DC1866" w16cid:durableId="223EC022"/>
  <w16cid:commentId w16cid:paraId="2491BB41" w16cid:durableId="223EC05B"/>
  <w16cid:commentId w16cid:paraId="42A114D6" w16cid:durableId="223EC0ED"/>
  <w16cid:commentId w16cid:paraId="53C1ED4E" w16cid:durableId="223EC10D"/>
  <w16cid:commentId w16cid:paraId="0ABDF4BA" w16cid:durableId="223EC131"/>
  <w16cid:commentId w16cid:paraId="2C9ACEA6" w16cid:durableId="223EC13B"/>
  <w16cid:commentId w16cid:paraId="2785B64E" w16cid:durableId="223EC196"/>
  <w16cid:commentId w16cid:paraId="586F53EA" w16cid:durableId="223EC1C1"/>
  <w16cid:commentId w16cid:paraId="47350CCC" w16cid:durableId="223EC1E5"/>
  <w16cid:commentId w16cid:paraId="0C2B5BA3" w16cid:durableId="223EC19D"/>
  <w16cid:commentId w16cid:paraId="32259BDF" w16cid:durableId="223EC219"/>
  <w16cid:commentId w16cid:paraId="3BE97381" w16cid:durableId="223EC289"/>
  <w16cid:commentId w16cid:paraId="401A4D14" w16cid:durableId="223EC2B5"/>
  <w16cid:commentId w16cid:paraId="7C0139E6" w16cid:durableId="223EC2E2"/>
  <w16cid:commentId w16cid:paraId="4649E691" w16cid:durableId="223EC308"/>
  <w16cid:commentId w16cid:paraId="63A53A6E" w16cid:durableId="223EC358"/>
  <w16cid:commentId w16cid:paraId="061598FE" w16cid:durableId="223EC331"/>
  <w16cid:commentId w16cid:paraId="5B1DD808" w16cid:durableId="223EC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1FA4A" w14:textId="77777777" w:rsidR="00933280" w:rsidRDefault="00933280" w:rsidP="001D5B01">
      <w:pPr>
        <w:spacing w:after="0" w:line="240" w:lineRule="auto"/>
      </w:pPr>
      <w:r>
        <w:separator/>
      </w:r>
    </w:p>
  </w:endnote>
  <w:endnote w:type="continuationSeparator" w:id="0">
    <w:p w14:paraId="30CE74D8" w14:textId="77777777" w:rsidR="00933280" w:rsidRDefault="00933280" w:rsidP="001D5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A1F68" w14:textId="77777777" w:rsidR="00933280" w:rsidRDefault="00933280" w:rsidP="001D5B01">
      <w:pPr>
        <w:spacing w:after="0" w:line="240" w:lineRule="auto"/>
      </w:pPr>
      <w:r>
        <w:separator/>
      </w:r>
    </w:p>
  </w:footnote>
  <w:footnote w:type="continuationSeparator" w:id="0">
    <w:p w14:paraId="40699AF6" w14:textId="77777777" w:rsidR="00933280" w:rsidRDefault="00933280" w:rsidP="001D5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06CB6" w14:textId="7CF129EC" w:rsidR="003F79F1" w:rsidRPr="00F10B33" w:rsidRDefault="003F79F1">
    <w:pPr>
      <w:pStyle w:val="Header"/>
      <w:rPr>
        <w:rFonts w:ascii="Times New Roman" w:hAnsi="Times New Roman" w:cs="Times New Roman"/>
        <w:sz w:val="24"/>
      </w:rPr>
    </w:pPr>
    <w:r>
      <w:rPr>
        <w:rFonts w:ascii="Times New Roman" w:hAnsi="Times New Roman" w:cs="Times New Roman"/>
        <w:sz w:val="24"/>
      </w:rPr>
      <w:t>FINANCIAL ANALYSIS OF TWO COMPANIES</w:t>
    </w:r>
    <w:r>
      <w:rPr>
        <w:rFonts w:ascii="Times New Roman" w:hAnsi="Times New Roman" w:cs="Times New Roman"/>
        <w:sz w:val="24"/>
      </w:rPr>
      <w:tab/>
    </w:r>
    <w:r w:rsidRPr="00F10B33">
      <w:rPr>
        <w:rFonts w:ascii="Times New Roman" w:hAnsi="Times New Roman" w:cs="Times New Roman"/>
        <w:sz w:val="24"/>
      </w:rPr>
      <w:fldChar w:fldCharType="begin"/>
    </w:r>
    <w:r w:rsidRPr="00F10B33">
      <w:rPr>
        <w:rFonts w:ascii="Times New Roman" w:hAnsi="Times New Roman" w:cs="Times New Roman"/>
        <w:sz w:val="24"/>
      </w:rPr>
      <w:instrText xml:space="preserve"> PAGE   \* MERGEFORMAT </w:instrText>
    </w:r>
    <w:r w:rsidRPr="00F10B33">
      <w:rPr>
        <w:rFonts w:ascii="Times New Roman" w:hAnsi="Times New Roman" w:cs="Times New Roman"/>
        <w:sz w:val="24"/>
      </w:rPr>
      <w:fldChar w:fldCharType="separate"/>
    </w:r>
    <w:r w:rsidR="001D5447">
      <w:rPr>
        <w:rFonts w:ascii="Times New Roman" w:hAnsi="Times New Roman" w:cs="Times New Roman"/>
        <w:noProof/>
        <w:sz w:val="24"/>
      </w:rPr>
      <w:t>4</w:t>
    </w:r>
    <w:r w:rsidRPr="00F10B33">
      <w:rPr>
        <w:rFonts w:ascii="Times New Roman" w:hAnsi="Times New Roman" w:cs="Times New Roman"/>
        <w:noProof/>
        <w:sz w:val="24"/>
      </w:rPr>
      <w:fldChar w:fldCharType="end"/>
    </w:r>
  </w:p>
  <w:p w14:paraId="71A9275F" w14:textId="77777777" w:rsidR="003F79F1" w:rsidRPr="00F10B33" w:rsidRDefault="003F79F1">
    <w:pPr>
      <w:pStyle w:val="Header"/>
      <w:rPr>
        <w:rFonts w:ascii="Times New Roman" w:hAnsi="Times New Roman" w:cs="Times New Roman"/>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40A5B" w14:textId="20EDF607" w:rsidR="003F79F1" w:rsidRDefault="003F79F1">
    <w:pPr>
      <w:pStyle w:val="Header"/>
    </w:pPr>
    <w:r>
      <w:rPr>
        <w:rFonts w:ascii="Times New Roman" w:hAnsi="Times New Roman" w:cs="Times New Roman"/>
        <w:sz w:val="24"/>
      </w:rPr>
      <w:t>Running head: FINANCIAL ANALYSIS OF TWO COMPANIES</w:t>
    </w:r>
    <w:r>
      <w:rPr>
        <w:rFonts w:ascii="Times New Roman" w:hAnsi="Times New Roman" w:cs="Times New Roman"/>
        <w:sz w:val="24"/>
      </w:rPr>
      <w:tab/>
    </w:r>
    <w:r w:rsidRPr="00F10B33">
      <w:rPr>
        <w:rFonts w:ascii="Times New Roman" w:hAnsi="Times New Roman" w:cs="Times New Roman"/>
        <w:sz w:val="24"/>
      </w:rPr>
      <w:fldChar w:fldCharType="begin"/>
    </w:r>
    <w:r w:rsidRPr="00F10B33">
      <w:rPr>
        <w:rFonts w:ascii="Times New Roman" w:hAnsi="Times New Roman" w:cs="Times New Roman"/>
        <w:sz w:val="24"/>
      </w:rPr>
      <w:instrText xml:space="preserve"> PAGE   \* MERGEFORMAT </w:instrText>
    </w:r>
    <w:r w:rsidRPr="00F10B33">
      <w:rPr>
        <w:rFonts w:ascii="Times New Roman" w:hAnsi="Times New Roman" w:cs="Times New Roman"/>
        <w:sz w:val="24"/>
      </w:rPr>
      <w:fldChar w:fldCharType="separate"/>
    </w:r>
    <w:r w:rsidR="001D5447">
      <w:rPr>
        <w:rFonts w:ascii="Times New Roman" w:hAnsi="Times New Roman" w:cs="Times New Roman"/>
        <w:noProof/>
        <w:sz w:val="24"/>
      </w:rPr>
      <w:t>1</w:t>
    </w:r>
    <w:r w:rsidRPr="00F10B33">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A02F9"/>
    <w:multiLevelType w:val="hybridMultilevel"/>
    <w:tmpl w:val="A1F6E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07607"/>
    <w:multiLevelType w:val="hybridMultilevel"/>
    <w:tmpl w:val="4C0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0A"/>
    <w:rsid w:val="000025F1"/>
    <w:rsid w:val="00004F3D"/>
    <w:rsid w:val="0000562C"/>
    <w:rsid w:val="00007D49"/>
    <w:rsid w:val="0002401E"/>
    <w:rsid w:val="000347A8"/>
    <w:rsid w:val="00044408"/>
    <w:rsid w:val="00085179"/>
    <w:rsid w:val="00086DF3"/>
    <w:rsid w:val="00097DD8"/>
    <w:rsid w:val="000A66AE"/>
    <w:rsid w:val="000E592A"/>
    <w:rsid w:val="000E7210"/>
    <w:rsid w:val="00105547"/>
    <w:rsid w:val="00132C97"/>
    <w:rsid w:val="00136A9A"/>
    <w:rsid w:val="00153524"/>
    <w:rsid w:val="00163E08"/>
    <w:rsid w:val="0016642C"/>
    <w:rsid w:val="00173A69"/>
    <w:rsid w:val="00181E3B"/>
    <w:rsid w:val="001B1389"/>
    <w:rsid w:val="001D5447"/>
    <w:rsid w:val="001D5B01"/>
    <w:rsid w:val="001E2D0C"/>
    <w:rsid w:val="002108BA"/>
    <w:rsid w:val="00227FDF"/>
    <w:rsid w:val="00250DA5"/>
    <w:rsid w:val="00286739"/>
    <w:rsid w:val="002A7BF3"/>
    <w:rsid w:val="002F1150"/>
    <w:rsid w:val="0030676B"/>
    <w:rsid w:val="0033033E"/>
    <w:rsid w:val="003327C7"/>
    <w:rsid w:val="003A0A70"/>
    <w:rsid w:val="003A21F7"/>
    <w:rsid w:val="003A5511"/>
    <w:rsid w:val="003B0572"/>
    <w:rsid w:val="003D28E1"/>
    <w:rsid w:val="003F79F1"/>
    <w:rsid w:val="003F7E1E"/>
    <w:rsid w:val="00422CE1"/>
    <w:rsid w:val="0044141B"/>
    <w:rsid w:val="00462CA4"/>
    <w:rsid w:val="00463248"/>
    <w:rsid w:val="0047120B"/>
    <w:rsid w:val="00477006"/>
    <w:rsid w:val="004876FC"/>
    <w:rsid w:val="004B569D"/>
    <w:rsid w:val="004D7706"/>
    <w:rsid w:val="004F3007"/>
    <w:rsid w:val="00501C83"/>
    <w:rsid w:val="00502F5F"/>
    <w:rsid w:val="005118D8"/>
    <w:rsid w:val="00515718"/>
    <w:rsid w:val="00552A5B"/>
    <w:rsid w:val="00581D82"/>
    <w:rsid w:val="00597312"/>
    <w:rsid w:val="005B45E0"/>
    <w:rsid w:val="005B49A4"/>
    <w:rsid w:val="005E47CB"/>
    <w:rsid w:val="005E74CB"/>
    <w:rsid w:val="00627FB1"/>
    <w:rsid w:val="00637687"/>
    <w:rsid w:val="006647FA"/>
    <w:rsid w:val="00694AA4"/>
    <w:rsid w:val="006950A6"/>
    <w:rsid w:val="006A2607"/>
    <w:rsid w:val="006B7313"/>
    <w:rsid w:val="006C379F"/>
    <w:rsid w:val="006C69A4"/>
    <w:rsid w:val="0071636B"/>
    <w:rsid w:val="00721325"/>
    <w:rsid w:val="007237CA"/>
    <w:rsid w:val="0072479D"/>
    <w:rsid w:val="00753F2E"/>
    <w:rsid w:val="00754799"/>
    <w:rsid w:val="007729B4"/>
    <w:rsid w:val="00772EC7"/>
    <w:rsid w:val="007F5A7D"/>
    <w:rsid w:val="00817F57"/>
    <w:rsid w:val="008372F8"/>
    <w:rsid w:val="0084121B"/>
    <w:rsid w:val="008471D6"/>
    <w:rsid w:val="008557CA"/>
    <w:rsid w:val="00856076"/>
    <w:rsid w:val="008962E5"/>
    <w:rsid w:val="008D2EBD"/>
    <w:rsid w:val="00903A5B"/>
    <w:rsid w:val="0091022B"/>
    <w:rsid w:val="00913B2D"/>
    <w:rsid w:val="00916822"/>
    <w:rsid w:val="00921198"/>
    <w:rsid w:val="009269CC"/>
    <w:rsid w:val="00933280"/>
    <w:rsid w:val="00966BCA"/>
    <w:rsid w:val="009A4660"/>
    <w:rsid w:val="009A4D0A"/>
    <w:rsid w:val="009E4BEC"/>
    <w:rsid w:val="00A31D7C"/>
    <w:rsid w:val="00A449EF"/>
    <w:rsid w:val="00A45B00"/>
    <w:rsid w:val="00A81DC1"/>
    <w:rsid w:val="00A90CD2"/>
    <w:rsid w:val="00AB006D"/>
    <w:rsid w:val="00AB6B2A"/>
    <w:rsid w:val="00AD528F"/>
    <w:rsid w:val="00AD71A9"/>
    <w:rsid w:val="00AF70AC"/>
    <w:rsid w:val="00B06D3A"/>
    <w:rsid w:val="00B120C7"/>
    <w:rsid w:val="00B14C85"/>
    <w:rsid w:val="00B25941"/>
    <w:rsid w:val="00B27C37"/>
    <w:rsid w:val="00B4280A"/>
    <w:rsid w:val="00B627A2"/>
    <w:rsid w:val="00B71E2F"/>
    <w:rsid w:val="00BA3B63"/>
    <w:rsid w:val="00BB5E39"/>
    <w:rsid w:val="00BC3364"/>
    <w:rsid w:val="00BD7C04"/>
    <w:rsid w:val="00BE7CFA"/>
    <w:rsid w:val="00BF31EC"/>
    <w:rsid w:val="00BF7407"/>
    <w:rsid w:val="00C0088A"/>
    <w:rsid w:val="00C2530C"/>
    <w:rsid w:val="00C34C4A"/>
    <w:rsid w:val="00C45B63"/>
    <w:rsid w:val="00C72653"/>
    <w:rsid w:val="00C8429C"/>
    <w:rsid w:val="00C8605A"/>
    <w:rsid w:val="00C879E1"/>
    <w:rsid w:val="00C94EBA"/>
    <w:rsid w:val="00CA6587"/>
    <w:rsid w:val="00CB11F3"/>
    <w:rsid w:val="00CC1D92"/>
    <w:rsid w:val="00CC29D8"/>
    <w:rsid w:val="00CD2F2B"/>
    <w:rsid w:val="00CE11DF"/>
    <w:rsid w:val="00D20E83"/>
    <w:rsid w:val="00D24F15"/>
    <w:rsid w:val="00D34679"/>
    <w:rsid w:val="00D423D0"/>
    <w:rsid w:val="00D63C0F"/>
    <w:rsid w:val="00D71767"/>
    <w:rsid w:val="00D74DBE"/>
    <w:rsid w:val="00D8140E"/>
    <w:rsid w:val="00D85712"/>
    <w:rsid w:val="00DC682F"/>
    <w:rsid w:val="00DC70FC"/>
    <w:rsid w:val="00E073E7"/>
    <w:rsid w:val="00E11989"/>
    <w:rsid w:val="00E2251A"/>
    <w:rsid w:val="00E40615"/>
    <w:rsid w:val="00E57778"/>
    <w:rsid w:val="00E579EF"/>
    <w:rsid w:val="00E71ED7"/>
    <w:rsid w:val="00EA45A5"/>
    <w:rsid w:val="00EC2089"/>
    <w:rsid w:val="00EF12C9"/>
    <w:rsid w:val="00F10B33"/>
    <w:rsid w:val="00F424EF"/>
    <w:rsid w:val="00F87382"/>
    <w:rsid w:val="00FA2F96"/>
    <w:rsid w:val="00FB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961E1"/>
  <w15:chartTrackingRefBased/>
  <w15:docId w15:val="{C67FA17D-1158-4A72-9ECB-41A3D054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408"/>
  </w:style>
  <w:style w:type="paragraph" w:styleId="Heading1">
    <w:name w:val="heading 1"/>
    <w:basedOn w:val="Normal"/>
    <w:next w:val="Normal"/>
    <w:link w:val="Heading1Char"/>
    <w:uiPriority w:val="9"/>
    <w:qFormat/>
    <w:rsid w:val="0004440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4440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40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40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4440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4440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4440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4440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4440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408"/>
    <w:pPr>
      <w:spacing w:after="0" w:line="240" w:lineRule="auto"/>
    </w:pPr>
  </w:style>
  <w:style w:type="paragraph" w:styleId="ListParagraph">
    <w:name w:val="List Paragraph"/>
    <w:basedOn w:val="Normal"/>
    <w:uiPriority w:val="34"/>
    <w:qFormat/>
    <w:rsid w:val="00CC29D8"/>
    <w:pPr>
      <w:ind w:left="720"/>
      <w:contextualSpacing/>
    </w:pPr>
  </w:style>
  <w:style w:type="character" w:styleId="Hyperlink">
    <w:name w:val="Hyperlink"/>
    <w:basedOn w:val="DefaultParagraphFont"/>
    <w:uiPriority w:val="99"/>
    <w:unhideWhenUsed/>
    <w:rsid w:val="00AF70AC"/>
    <w:rPr>
      <w:color w:val="0563C1" w:themeColor="hyperlink"/>
      <w:u w:val="single"/>
    </w:rPr>
  </w:style>
  <w:style w:type="character" w:customStyle="1" w:styleId="Heading1Char">
    <w:name w:val="Heading 1 Char"/>
    <w:basedOn w:val="DefaultParagraphFont"/>
    <w:link w:val="Heading1"/>
    <w:uiPriority w:val="9"/>
    <w:rsid w:val="00044408"/>
    <w:rPr>
      <w:rFonts w:asciiTheme="majorHAnsi" w:eastAsiaTheme="majorEastAsia" w:hAnsiTheme="majorHAnsi" w:cstheme="majorBidi"/>
      <w:color w:val="1F3864" w:themeColor="accent1" w:themeShade="80"/>
      <w:sz w:val="36"/>
      <w:szCs w:val="36"/>
    </w:rPr>
  </w:style>
  <w:style w:type="paragraph" w:styleId="Header">
    <w:name w:val="header"/>
    <w:basedOn w:val="Normal"/>
    <w:link w:val="HeaderChar"/>
    <w:uiPriority w:val="99"/>
    <w:unhideWhenUsed/>
    <w:rsid w:val="001D5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B01"/>
  </w:style>
  <w:style w:type="paragraph" w:styleId="Footer">
    <w:name w:val="footer"/>
    <w:basedOn w:val="Normal"/>
    <w:link w:val="FooterChar"/>
    <w:uiPriority w:val="99"/>
    <w:unhideWhenUsed/>
    <w:rsid w:val="001D5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B01"/>
  </w:style>
  <w:style w:type="character" w:customStyle="1" w:styleId="UnresolvedMention">
    <w:name w:val="Unresolved Mention"/>
    <w:basedOn w:val="DefaultParagraphFont"/>
    <w:uiPriority w:val="99"/>
    <w:semiHidden/>
    <w:unhideWhenUsed/>
    <w:rsid w:val="00AB6B2A"/>
    <w:rPr>
      <w:color w:val="605E5C"/>
      <w:shd w:val="clear" w:color="auto" w:fill="E1DFDD"/>
    </w:rPr>
  </w:style>
  <w:style w:type="character" w:customStyle="1" w:styleId="Heading2Char">
    <w:name w:val="Heading 2 Char"/>
    <w:basedOn w:val="DefaultParagraphFont"/>
    <w:link w:val="Heading2"/>
    <w:uiPriority w:val="9"/>
    <w:rsid w:val="000444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440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40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4440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4440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4440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4440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4440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44408"/>
    <w:pPr>
      <w:spacing w:line="240" w:lineRule="auto"/>
    </w:pPr>
    <w:rPr>
      <w:b/>
      <w:bCs/>
      <w:smallCaps/>
      <w:color w:val="44546A" w:themeColor="text2"/>
    </w:rPr>
  </w:style>
  <w:style w:type="paragraph" w:styleId="Title">
    <w:name w:val="Title"/>
    <w:basedOn w:val="Normal"/>
    <w:next w:val="Normal"/>
    <w:link w:val="TitleChar"/>
    <w:uiPriority w:val="10"/>
    <w:qFormat/>
    <w:rsid w:val="0004440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4440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4440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4440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44408"/>
    <w:rPr>
      <w:b/>
      <w:bCs/>
    </w:rPr>
  </w:style>
  <w:style w:type="character" w:styleId="Emphasis">
    <w:name w:val="Emphasis"/>
    <w:basedOn w:val="DefaultParagraphFont"/>
    <w:uiPriority w:val="20"/>
    <w:qFormat/>
    <w:rsid w:val="00044408"/>
    <w:rPr>
      <w:i/>
      <w:iCs/>
    </w:rPr>
  </w:style>
  <w:style w:type="paragraph" w:styleId="Quote">
    <w:name w:val="Quote"/>
    <w:basedOn w:val="Normal"/>
    <w:next w:val="Normal"/>
    <w:link w:val="QuoteChar"/>
    <w:uiPriority w:val="29"/>
    <w:qFormat/>
    <w:rsid w:val="0004440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44408"/>
    <w:rPr>
      <w:color w:val="44546A" w:themeColor="text2"/>
      <w:sz w:val="24"/>
      <w:szCs w:val="24"/>
    </w:rPr>
  </w:style>
  <w:style w:type="paragraph" w:styleId="IntenseQuote">
    <w:name w:val="Intense Quote"/>
    <w:basedOn w:val="Normal"/>
    <w:next w:val="Normal"/>
    <w:link w:val="IntenseQuoteChar"/>
    <w:uiPriority w:val="30"/>
    <w:qFormat/>
    <w:rsid w:val="0004440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4440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44408"/>
    <w:rPr>
      <w:i/>
      <w:iCs/>
      <w:color w:val="595959" w:themeColor="text1" w:themeTint="A6"/>
    </w:rPr>
  </w:style>
  <w:style w:type="character" w:styleId="IntenseEmphasis">
    <w:name w:val="Intense Emphasis"/>
    <w:basedOn w:val="DefaultParagraphFont"/>
    <w:uiPriority w:val="21"/>
    <w:qFormat/>
    <w:rsid w:val="00044408"/>
    <w:rPr>
      <w:b/>
      <w:bCs/>
      <w:i/>
      <w:iCs/>
    </w:rPr>
  </w:style>
  <w:style w:type="character" w:styleId="SubtleReference">
    <w:name w:val="Subtle Reference"/>
    <w:basedOn w:val="DefaultParagraphFont"/>
    <w:uiPriority w:val="31"/>
    <w:qFormat/>
    <w:rsid w:val="0004440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44408"/>
    <w:rPr>
      <w:b/>
      <w:bCs/>
      <w:smallCaps/>
      <w:color w:val="44546A" w:themeColor="text2"/>
      <w:u w:val="single"/>
    </w:rPr>
  </w:style>
  <w:style w:type="character" w:styleId="BookTitle">
    <w:name w:val="Book Title"/>
    <w:basedOn w:val="DefaultParagraphFont"/>
    <w:uiPriority w:val="33"/>
    <w:qFormat/>
    <w:rsid w:val="00044408"/>
    <w:rPr>
      <w:b/>
      <w:bCs/>
      <w:smallCaps/>
      <w:spacing w:val="10"/>
    </w:rPr>
  </w:style>
  <w:style w:type="paragraph" w:styleId="TOCHeading">
    <w:name w:val="TOC Heading"/>
    <w:basedOn w:val="Heading1"/>
    <w:next w:val="Normal"/>
    <w:uiPriority w:val="39"/>
    <w:semiHidden/>
    <w:unhideWhenUsed/>
    <w:qFormat/>
    <w:rsid w:val="00044408"/>
    <w:pPr>
      <w:outlineLvl w:val="9"/>
    </w:pPr>
  </w:style>
  <w:style w:type="character" w:styleId="FollowedHyperlink">
    <w:name w:val="FollowedHyperlink"/>
    <w:basedOn w:val="DefaultParagraphFont"/>
    <w:uiPriority w:val="99"/>
    <w:semiHidden/>
    <w:unhideWhenUsed/>
    <w:rsid w:val="004B569D"/>
    <w:rPr>
      <w:color w:val="954F72" w:themeColor="followedHyperlink"/>
      <w:u w:val="single"/>
    </w:rPr>
  </w:style>
  <w:style w:type="character" w:styleId="CommentReference">
    <w:name w:val="annotation reference"/>
    <w:basedOn w:val="DefaultParagraphFont"/>
    <w:uiPriority w:val="99"/>
    <w:semiHidden/>
    <w:unhideWhenUsed/>
    <w:rsid w:val="00463248"/>
    <w:rPr>
      <w:sz w:val="16"/>
      <w:szCs w:val="16"/>
    </w:rPr>
  </w:style>
  <w:style w:type="paragraph" w:styleId="CommentText">
    <w:name w:val="annotation text"/>
    <w:basedOn w:val="Normal"/>
    <w:link w:val="CommentTextChar"/>
    <w:uiPriority w:val="99"/>
    <w:semiHidden/>
    <w:unhideWhenUsed/>
    <w:rsid w:val="00463248"/>
    <w:pPr>
      <w:spacing w:line="240" w:lineRule="auto"/>
    </w:pPr>
    <w:rPr>
      <w:sz w:val="20"/>
      <w:szCs w:val="20"/>
    </w:rPr>
  </w:style>
  <w:style w:type="character" w:customStyle="1" w:styleId="CommentTextChar">
    <w:name w:val="Comment Text Char"/>
    <w:basedOn w:val="DefaultParagraphFont"/>
    <w:link w:val="CommentText"/>
    <w:uiPriority w:val="99"/>
    <w:semiHidden/>
    <w:rsid w:val="00463248"/>
    <w:rPr>
      <w:sz w:val="20"/>
      <w:szCs w:val="20"/>
    </w:rPr>
  </w:style>
  <w:style w:type="paragraph" w:styleId="CommentSubject">
    <w:name w:val="annotation subject"/>
    <w:basedOn w:val="CommentText"/>
    <w:next w:val="CommentText"/>
    <w:link w:val="CommentSubjectChar"/>
    <w:uiPriority w:val="99"/>
    <w:semiHidden/>
    <w:unhideWhenUsed/>
    <w:rsid w:val="00463248"/>
    <w:rPr>
      <w:b/>
      <w:bCs/>
    </w:rPr>
  </w:style>
  <w:style w:type="character" w:customStyle="1" w:styleId="CommentSubjectChar">
    <w:name w:val="Comment Subject Char"/>
    <w:basedOn w:val="CommentTextChar"/>
    <w:link w:val="CommentSubject"/>
    <w:uiPriority w:val="99"/>
    <w:semiHidden/>
    <w:rsid w:val="00463248"/>
    <w:rPr>
      <w:b/>
      <w:bCs/>
      <w:sz w:val="20"/>
      <w:szCs w:val="20"/>
    </w:rPr>
  </w:style>
  <w:style w:type="paragraph" w:styleId="BalloonText">
    <w:name w:val="Balloon Text"/>
    <w:basedOn w:val="Normal"/>
    <w:link w:val="BalloonTextChar"/>
    <w:uiPriority w:val="99"/>
    <w:semiHidden/>
    <w:unhideWhenUsed/>
    <w:rsid w:val="0046324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32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6659">
      <w:bodyDiv w:val="1"/>
      <w:marLeft w:val="0"/>
      <w:marRight w:val="0"/>
      <w:marTop w:val="0"/>
      <w:marBottom w:val="0"/>
      <w:divBdr>
        <w:top w:val="none" w:sz="0" w:space="0" w:color="auto"/>
        <w:left w:val="none" w:sz="0" w:space="0" w:color="auto"/>
        <w:bottom w:val="none" w:sz="0" w:space="0" w:color="auto"/>
        <w:right w:val="none" w:sz="0" w:space="0" w:color="auto"/>
      </w:divBdr>
    </w:div>
    <w:div w:id="78407447">
      <w:bodyDiv w:val="1"/>
      <w:marLeft w:val="0"/>
      <w:marRight w:val="0"/>
      <w:marTop w:val="0"/>
      <w:marBottom w:val="0"/>
      <w:divBdr>
        <w:top w:val="none" w:sz="0" w:space="0" w:color="auto"/>
        <w:left w:val="none" w:sz="0" w:space="0" w:color="auto"/>
        <w:bottom w:val="none" w:sz="0" w:space="0" w:color="auto"/>
        <w:right w:val="none" w:sz="0" w:space="0" w:color="auto"/>
      </w:divBdr>
    </w:div>
    <w:div w:id="113211767">
      <w:bodyDiv w:val="1"/>
      <w:marLeft w:val="0"/>
      <w:marRight w:val="0"/>
      <w:marTop w:val="0"/>
      <w:marBottom w:val="0"/>
      <w:divBdr>
        <w:top w:val="none" w:sz="0" w:space="0" w:color="auto"/>
        <w:left w:val="none" w:sz="0" w:space="0" w:color="auto"/>
        <w:bottom w:val="none" w:sz="0" w:space="0" w:color="auto"/>
        <w:right w:val="none" w:sz="0" w:space="0" w:color="auto"/>
      </w:divBdr>
    </w:div>
    <w:div w:id="123232599">
      <w:bodyDiv w:val="1"/>
      <w:marLeft w:val="0"/>
      <w:marRight w:val="0"/>
      <w:marTop w:val="0"/>
      <w:marBottom w:val="0"/>
      <w:divBdr>
        <w:top w:val="none" w:sz="0" w:space="0" w:color="auto"/>
        <w:left w:val="none" w:sz="0" w:space="0" w:color="auto"/>
        <w:bottom w:val="none" w:sz="0" w:space="0" w:color="auto"/>
        <w:right w:val="none" w:sz="0" w:space="0" w:color="auto"/>
      </w:divBdr>
    </w:div>
    <w:div w:id="126582669">
      <w:bodyDiv w:val="1"/>
      <w:marLeft w:val="0"/>
      <w:marRight w:val="0"/>
      <w:marTop w:val="0"/>
      <w:marBottom w:val="0"/>
      <w:divBdr>
        <w:top w:val="none" w:sz="0" w:space="0" w:color="auto"/>
        <w:left w:val="none" w:sz="0" w:space="0" w:color="auto"/>
        <w:bottom w:val="none" w:sz="0" w:space="0" w:color="auto"/>
        <w:right w:val="none" w:sz="0" w:space="0" w:color="auto"/>
      </w:divBdr>
    </w:div>
    <w:div w:id="139004629">
      <w:bodyDiv w:val="1"/>
      <w:marLeft w:val="0"/>
      <w:marRight w:val="0"/>
      <w:marTop w:val="0"/>
      <w:marBottom w:val="0"/>
      <w:divBdr>
        <w:top w:val="none" w:sz="0" w:space="0" w:color="auto"/>
        <w:left w:val="none" w:sz="0" w:space="0" w:color="auto"/>
        <w:bottom w:val="none" w:sz="0" w:space="0" w:color="auto"/>
        <w:right w:val="none" w:sz="0" w:space="0" w:color="auto"/>
      </w:divBdr>
    </w:div>
    <w:div w:id="152843219">
      <w:bodyDiv w:val="1"/>
      <w:marLeft w:val="0"/>
      <w:marRight w:val="0"/>
      <w:marTop w:val="0"/>
      <w:marBottom w:val="0"/>
      <w:divBdr>
        <w:top w:val="none" w:sz="0" w:space="0" w:color="auto"/>
        <w:left w:val="none" w:sz="0" w:space="0" w:color="auto"/>
        <w:bottom w:val="none" w:sz="0" w:space="0" w:color="auto"/>
        <w:right w:val="none" w:sz="0" w:space="0" w:color="auto"/>
      </w:divBdr>
    </w:div>
    <w:div w:id="183985595">
      <w:bodyDiv w:val="1"/>
      <w:marLeft w:val="0"/>
      <w:marRight w:val="0"/>
      <w:marTop w:val="0"/>
      <w:marBottom w:val="0"/>
      <w:divBdr>
        <w:top w:val="none" w:sz="0" w:space="0" w:color="auto"/>
        <w:left w:val="none" w:sz="0" w:space="0" w:color="auto"/>
        <w:bottom w:val="none" w:sz="0" w:space="0" w:color="auto"/>
        <w:right w:val="none" w:sz="0" w:space="0" w:color="auto"/>
      </w:divBdr>
    </w:div>
    <w:div w:id="200898337">
      <w:bodyDiv w:val="1"/>
      <w:marLeft w:val="0"/>
      <w:marRight w:val="0"/>
      <w:marTop w:val="0"/>
      <w:marBottom w:val="0"/>
      <w:divBdr>
        <w:top w:val="none" w:sz="0" w:space="0" w:color="auto"/>
        <w:left w:val="none" w:sz="0" w:space="0" w:color="auto"/>
        <w:bottom w:val="none" w:sz="0" w:space="0" w:color="auto"/>
        <w:right w:val="none" w:sz="0" w:space="0" w:color="auto"/>
      </w:divBdr>
    </w:div>
    <w:div w:id="323049037">
      <w:bodyDiv w:val="1"/>
      <w:marLeft w:val="0"/>
      <w:marRight w:val="0"/>
      <w:marTop w:val="0"/>
      <w:marBottom w:val="0"/>
      <w:divBdr>
        <w:top w:val="none" w:sz="0" w:space="0" w:color="auto"/>
        <w:left w:val="none" w:sz="0" w:space="0" w:color="auto"/>
        <w:bottom w:val="none" w:sz="0" w:space="0" w:color="auto"/>
        <w:right w:val="none" w:sz="0" w:space="0" w:color="auto"/>
      </w:divBdr>
    </w:div>
    <w:div w:id="340133734">
      <w:bodyDiv w:val="1"/>
      <w:marLeft w:val="0"/>
      <w:marRight w:val="0"/>
      <w:marTop w:val="0"/>
      <w:marBottom w:val="0"/>
      <w:divBdr>
        <w:top w:val="none" w:sz="0" w:space="0" w:color="auto"/>
        <w:left w:val="none" w:sz="0" w:space="0" w:color="auto"/>
        <w:bottom w:val="none" w:sz="0" w:space="0" w:color="auto"/>
        <w:right w:val="none" w:sz="0" w:space="0" w:color="auto"/>
      </w:divBdr>
    </w:div>
    <w:div w:id="341974615">
      <w:bodyDiv w:val="1"/>
      <w:marLeft w:val="0"/>
      <w:marRight w:val="0"/>
      <w:marTop w:val="0"/>
      <w:marBottom w:val="0"/>
      <w:divBdr>
        <w:top w:val="none" w:sz="0" w:space="0" w:color="auto"/>
        <w:left w:val="none" w:sz="0" w:space="0" w:color="auto"/>
        <w:bottom w:val="none" w:sz="0" w:space="0" w:color="auto"/>
        <w:right w:val="none" w:sz="0" w:space="0" w:color="auto"/>
      </w:divBdr>
    </w:div>
    <w:div w:id="453325486">
      <w:bodyDiv w:val="1"/>
      <w:marLeft w:val="0"/>
      <w:marRight w:val="0"/>
      <w:marTop w:val="0"/>
      <w:marBottom w:val="0"/>
      <w:divBdr>
        <w:top w:val="none" w:sz="0" w:space="0" w:color="auto"/>
        <w:left w:val="none" w:sz="0" w:space="0" w:color="auto"/>
        <w:bottom w:val="none" w:sz="0" w:space="0" w:color="auto"/>
        <w:right w:val="none" w:sz="0" w:space="0" w:color="auto"/>
      </w:divBdr>
    </w:div>
    <w:div w:id="483543910">
      <w:bodyDiv w:val="1"/>
      <w:marLeft w:val="0"/>
      <w:marRight w:val="0"/>
      <w:marTop w:val="0"/>
      <w:marBottom w:val="0"/>
      <w:divBdr>
        <w:top w:val="none" w:sz="0" w:space="0" w:color="auto"/>
        <w:left w:val="none" w:sz="0" w:space="0" w:color="auto"/>
        <w:bottom w:val="none" w:sz="0" w:space="0" w:color="auto"/>
        <w:right w:val="none" w:sz="0" w:space="0" w:color="auto"/>
      </w:divBdr>
    </w:div>
    <w:div w:id="527837912">
      <w:bodyDiv w:val="1"/>
      <w:marLeft w:val="0"/>
      <w:marRight w:val="0"/>
      <w:marTop w:val="0"/>
      <w:marBottom w:val="0"/>
      <w:divBdr>
        <w:top w:val="none" w:sz="0" w:space="0" w:color="auto"/>
        <w:left w:val="none" w:sz="0" w:space="0" w:color="auto"/>
        <w:bottom w:val="none" w:sz="0" w:space="0" w:color="auto"/>
        <w:right w:val="none" w:sz="0" w:space="0" w:color="auto"/>
      </w:divBdr>
    </w:div>
    <w:div w:id="534390584">
      <w:bodyDiv w:val="1"/>
      <w:marLeft w:val="0"/>
      <w:marRight w:val="0"/>
      <w:marTop w:val="0"/>
      <w:marBottom w:val="0"/>
      <w:divBdr>
        <w:top w:val="none" w:sz="0" w:space="0" w:color="auto"/>
        <w:left w:val="none" w:sz="0" w:space="0" w:color="auto"/>
        <w:bottom w:val="none" w:sz="0" w:space="0" w:color="auto"/>
        <w:right w:val="none" w:sz="0" w:space="0" w:color="auto"/>
      </w:divBdr>
    </w:div>
    <w:div w:id="561138354">
      <w:bodyDiv w:val="1"/>
      <w:marLeft w:val="0"/>
      <w:marRight w:val="0"/>
      <w:marTop w:val="0"/>
      <w:marBottom w:val="0"/>
      <w:divBdr>
        <w:top w:val="none" w:sz="0" w:space="0" w:color="auto"/>
        <w:left w:val="none" w:sz="0" w:space="0" w:color="auto"/>
        <w:bottom w:val="none" w:sz="0" w:space="0" w:color="auto"/>
        <w:right w:val="none" w:sz="0" w:space="0" w:color="auto"/>
      </w:divBdr>
    </w:div>
    <w:div w:id="599216153">
      <w:bodyDiv w:val="1"/>
      <w:marLeft w:val="0"/>
      <w:marRight w:val="0"/>
      <w:marTop w:val="0"/>
      <w:marBottom w:val="0"/>
      <w:divBdr>
        <w:top w:val="none" w:sz="0" w:space="0" w:color="auto"/>
        <w:left w:val="none" w:sz="0" w:space="0" w:color="auto"/>
        <w:bottom w:val="none" w:sz="0" w:space="0" w:color="auto"/>
        <w:right w:val="none" w:sz="0" w:space="0" w:color="auto"/>
      </w:divBdr>
      <w:divsChild>
        <w:div w:id="585530276">
          <w:marLeft w:val="300"/>
          <w:marRight w:val="0"/>
          <w:marTop w:val="90"/>
          <w:marBottom w:val="300"/>
          <w:divBdr>
            <w:top w:val="none" w:sz="0" w:space="0" w:color="auto"/>
            <w:left w:val="none" w:sz="0" w:space="0" w:color="auto"/>
            <w:bottom w:val="none" w:sz="0" w:space="0" w:color="auto"/>
            <w:right w:val="none" w:sz="0" w:space="0" w:color="auto"/>
          </w:divBdr>
        </w:div>
        <w:div w:id="2007975837">
          <w:marLeft w:val="300"/>
          <w:marRight w:val="0"/>
          <w:marTop w:val="90"/>
          <w:marBottom w:val="300"/>
          <w:divBdr>
            <w:top w:val="none" w:sz="0" w:space="0" w:color="auto"/>
            <w:left w:val="none" w:sz="0" w:space="0" w:color="auto"/>
            <w:bottom w:val="none" w:sz="0" w:space="0" w:color="auto"/>
            <w:right w:val="none" w:sz="0" w:space="0" w:color="auto"/>
          </w:divBdr>
        </w:div>
        <w:div w:id="1962301584">
          <w:marLeft w:val="300"/>
          <w:marRight w:val="0"/>
          <w:marTop w:val="90"/>
          <w:marBottom w:val="300"/>
          <w:divBdr>
            <w:top w:val="none" w:sz="0" w:space="0" w:color="auto"/>
            <w:left w:val="none" w:sz="0" w:space="0" w:color="auto"/>
            <w:bottom w:val="none" w:sz="0" w:space="0" w:color="auto"/>
            <w:right w:val="none" w:sz="0" w:space="0" w:color="auto"/>
          </w:divBdr>
        </w:div>
        <w:div w:id="531921724">
          <w:marLeft w:val="300"/>
          <w:marRight w:val="0"/>
          <w:marTop w:val="90"/>
          <w:marBottom w:val="300"/>
          <w:divBdr>
            <w:top w:val="none" w:sz="0" w:space="0" w:color="auto"/>
            <w:left w:val="none" w:sz="0" w:space="0" w:color="auto"/>
            <w:bottom w:val="none" w:sz="0" w:space="0" w:color="auto"/>
            <w:right w:val="none" w:sz="0" w:space="0" w:color="auto"/>
          </w:divBdr>
        </w:div>
        <w:div w:id="1642533767">
          <w:marLeft w:val="300"/>
          <w:marRight w:val="0"/>
          <w:marTop w:val="90"/>
          <w:marBottom w:val="300"/>
          <w:divBdr>
            <w:top w:val="none" w:sz="0" w:space="0" w:color="auto"/>
            <w:left w:val="none" w:sz="0" w:space="0" w:color="auto"/>
            <w:bottom w:val="none" w:sz="0" w:space="0" w:color="auto"/>
            <w:right w:val="none" w:sz="0" w:space="0" w:color="auto"/>
          </w:divBdr>
        </w:div>
        <w:div w:id="796219371">
          <w:marLeft w:val="300"/>
          <w:marRight w:val="0"/>
          <w:marTop w:val="90"/>
          <w:marBottom w:val="300"/>
          <w:divBdr>
            <w:top w:val="none" w:sz="0" w:space="0" w:color="auto"/>
            <w:left w:val="none" w:sz="0" w:space="0" w:color="auto"/>
            <w:bottom w:val="none" w:sz="0" w:space="0" w:color="auto"/>
            <w:right w:val="none" w:sz="0" w:space="0" w:color="auto"/>
          </w:divBdr>
        </w:div>
        <w:div w:id="2116628848">
          <w:marLeft w:val="300"/>
          <w:marRight w:val="0"/>
          <w:marTop w:val="90"/>
          <w:marBottom w:val="300"/>
          <w:divBdr>
            <w:top w:val="none" w:sz="0" w:space="0" w:color="auto"/>
            <w:left w:val="none" w:sz="0" w:space="0" w:color="auto"/>
            <w:bottom w:val="none" w:sz="0" w:space="0" w:color="auto"/>
            <w:right w:val="none" w:sz="0" w:space="0" w:color="auto"/>
          </w:divBdr>
        </w:div>
        <w:div w:id="425856255">
          <w:marLeft w:val="300"/>
          <w:marRight w:val="0"/>
          <w:marTop w:val="90"/>
          <w:marBottom w:val="300"/>
          <w:divBdr>
            <w:top w:val="none" w:sz="0" w:space="0" w:color="auto"/>
            <w:left w:val="none" w:sz="0" w:space="0" w:color="auto"/>
            <w:bottom w:val="none" w:sz="0" w:space="0" w:color="auto"/>
            <w:right w:val="none" w:sz="0" w:space="0" w:color="auto"/>
          </w:divBdr>
        </w:div>
        <w:div w:id="476148559">
          <w:marLeft w:val="300"/>
          <w:marRight w:val="0"/>
          <w:marTop w:val="90"/>
          <w:marBottom w:val="300"/>
          <w:divBdr>
            <w:top w:val="none" w:sz="0" w:space="0" w:color="auto"/>
            <w:left w:val="none" w:sz="0" w:space="0" w:color="auto"/>
            <w:bottom w:val="none" w:sz="0" w:space="0" w:color="auto"/>
            <w:right w:val="none" w:sz="0" w:space="0" w:color="auto"/>
          </w:divBdr>
        </w:div>
        <w:div w:id="902254063">
          <w:marLeft w:val="300"/>
          <w:marRight w:val="0"/>
          <w:marTop w:val="90"/>
          <w:marBottom w:val="300"/>
          <w:divBdr>
            <w:top w:val="none" w:sz="0" w:space="0" w:color="auto"/>
            <w:left w:val="none" w:sz="0" w:space="0" w:color="auto"/>
            <w:bottom w:val="none" w:sz="0" w:space="0" w:color="auto"/>
            <w:right w:val="none" w:sz="0" w:space="0" w:color="auto"/>
          </w:divBdr>
        </w:div>
        <w:div w:id="1965454455">
          <w:marLeft w:val="300"/>
          <w:marRight w:val="0"/>
          <w:marTop w:val="90"/>
          <w:marBottom w:val="300"/>
          <w:divBdr>
            <w:top w:val="none" w:sz="0" w:space="0" w:color="auto"/>
            <w:left w:val="none" w:sz="0" w:space="0" w:color="auto"/>
            <w:bottom w:val="none" w:sz="0" w:space="0" w:color="auto"/>
            <w:right w:val="none" w:sz="0" w:space="0" w:color="auto"/>
          </w:divBdr>
        </w:div>
        <w:div w:id="503933713">
          <w:marLeft w:val="300"/>
          <w:marRight w:val="0"/>
          <w:marTop w:val="90"/>
          <w:marBottom w:val="300"/>
          <w:divBdr>
            <w:top w:val="none" w:sz="0" w:space="0" w:color="auto"/>
            <w:left w:val="none" w:sz="0" w:space="0" w:color="auto"/>
            <w:bottom w:val="none" w:sz="0" w:space="0" w:color="auto"/>
            <w:right w:val="none" w:sz="0" w:space="0" w:color="auto"/>
          </w:divBdr>
        </w:div>
        <w:div w:id="458031208">
          <w:marLeft w:val="300"/>
          <w:marRight w:val="0"/>
          <w:marTop w:val="90"/>
          <w:marBottom w:val="300"/>
          <w:divBdr>
            <w:top w:val="none" w:sz="0" w:space="0" w:color="auto"/>
            <w:left w:val="none" w:sz="0" w:space="0" w:color="auto"/>
            <w:bottom w:val="none" w:sz="0" w:space="0" w:color="auto"/>
            <w:right w:val="none" w:sz="0" w:space="0" w:color="auto"/>
          </w:divBdr>
        </w:div>
        <w:div w:id="778451316">
          <w:marLeft w:val="300"/>
          <w:marRight w:val="0"/>
          <w:marTop w:val="90"/>
          <w:marBottom w:val="300"/>
          <w:divBdr>
            <w:top w:val="none" w:sz="0" w:space="0" w:color="auto"/>
            <w:left w:val="none" w:sz="0" w:space="0" w:color="auto"/>
            <w:bottom w:val="none" w:sz="0" w:space="0" w:color="auto"/>
            <w:right w:val="none" w:sz="0" w:space="0" w:color="auto"/>
          </w:divBdr>
        </w:div>
      </w:divsChild>
    </w:div>
    <w:div w:id="622270528">
      <w:bodyDiv w:val="1"/>
      <w:marLeft w:val="0"/>
      <w:marRight w:val="0"/>
      <w:marTop w:val="0"/>
      <w:marBottom w:val="0"/>
      <w:divBdr>
        <w:top w:val="none" w:sz="0" w:space="0" w:color="auto"/>
        <w:left w:val="none" w:sz="0" w:space="0" w:color="auto"/>
        <w:bottom w:val="none" w:sz="0" w:space="0" w:color="auto"/>
        <w:right w:val="none" w:sz="0" w:space="0" w:color="auto"/>
      </w:divBdr>
    </w:div>
    <w:div w:id="654189236">
      <w:bodyDiv w:val="1"/>
      <w:marLeft w:val="0"/>
      <w:marRight w:val="0"/>
      <w:marTop w:val="0"/>
      <w:marBottom w:val="0"/>
      <w:divBdr>
        <w:top w:val="none" w:sz="0" w:space="0" w:color="auto"/>
        <w:left w:val="none" w:sz="0" w:space="0" w:color="auto"/>
        <w:bottom w:val="none" w:sz="0" w:space="0" w:color="auto"/>
        <w:right w:val="none" w:sz="0" w:space="0" w:color="auto"/>
      </w:divBdr>
    </w:div>
    <w:div w:id="691299438">
      <w:bodyDiv w:val="1"/>
      <w:marLeft w:val="0"/>
      <w:marRight w:val="0"/>
      <w:marTop w:val="0"/>
      <w:marBottom w:val="0"/>
      <w:divBdr>
        <w:top w:val="none" w:sz="0" w:space="0" w:color="auto"/>
        <w:left w:val="none" w:sz="0" w:space="0" w:color="auto"/>
        <w:bottom w:val="none" w:sz="0" w:space="0" w:color="auto"/>
        <w:right w:val="none" w:sz="0" w:space="0" w:color="auto"/>
      </w:divBdr>
    </w:div>
    <w:div w:id="703948380">
      <w:bodyDiv w:val="1"/>
      <w:marLeft w:val="0"/>
      <w:marRight w:val="0"/>
      <w:marTop w:val="0"/>
      <w:marBottom w:val="0"/>
      <w:divBdr>
        <w:top w:val="none" w:sz="0" w:space="0" w:color="auto"/>
        <w:left w:val="none" w:sz="0" w:space="0" w:color="auto"/>
        <w:bottom w:val="none" w:sz="0" w:space="0" w:color="auto"/>
        <w:right w:val="none" w:sz="0" w:space="0" w:color="auto"/>
      </w:divBdr>
      <w:divsChild>
        <w:div w:id="547380952">
          <w:marLeft w:val="300"/>
          <w:marRight w:val="0"/>
          <w:marTop w:val="90"/>
          <w:marBottom w:val="300"/>
          <w:divBdr>
            <w:top w:val="none" w:sz="0" w:space="0" w:color="auto"/>
            <w:left w:val="none" w:sz="0" w:space="0" w:color="auto"/>
            <w:bottom w:val="none" w:sz="0" w:space="0" w:color="auto"/>
            <w:right w:val="none" w:sz="0" w:space="0" w:color="auto"/>
          </w:divBdr>
        </w:div>
        <w:div w:id="778527252">
          <w:marLeft w:val="300"/>
          <w:marRight w:val="0"/>
          <w:marTop w:val="90"/>
          <w:marBottom w:val="300"/>
          <w:divBdr>
            <w:top w:val="none" w:sz="0" w:space="0" w:color="auto"/>
            <w:left w:val="none" w:sz="0" w:space="0" w:color="auto"/>
            <w:bottom w:val="none" w:sz="0" w:space="0" w:color="auto"/>
            <w:right w:val="none" w:sz="0" w:space="0" w:color="auto"/>
          </w:divBdr>
        </w:div>
        <w:div w:id="1076250132">
          <w:marLeft w:val="300"/>
          <w:marRight w:val="0"/>
          <w:marTop w:val="90"/>
          <w:marBottom w:val="300"/>
          <w:divBdr>
            <w:top w:val="none" w:sz="0" w:space="0" w:color="auto"/>
            <w:left w:val="none" w:sz="0" w:space="0" w:color="auto"/>
            <w:bottom w:val="none" w:sz="0" w:space="0" w:color="auto"/>
            <w:right w:val="none" w:sz="0" w:space="0" w:color="auto"/>
          </w:divBdr>
        </w:div>
        <w:div w:id="138613394">
          <w:marLeft w:val="300"/>
          <w:marRight w:val="0"/>
          <w:marTop w:val="90"/>
          <w:marBottom w:val="300"/>
          <w:divBdr>
            <w:top w:val="none" w:sz="0" w:space="0" w:color="auto"/>
            <w:left w:val="none" w:sz="0" w:space="0" w:color="auto"/>
            <w:bottom w:val="none" w:sz="0" w:space="0" w:color="auto"/>
            <w:right w:val="none" w:sz="0" w:space="0" w:color="auto"/>
          </w:divBdr>
        </w:div>
        <w:div w:id="1795100325">
          <w:marLeft w:val="300"/>
          <w:marRight w:val="0"/>
          <w:marTop w:val="90"/>
          <w:marBottom w:val="300"/>
          <w:divBdr>
            <w:top w:val="none" w:sz="0" w:space="0" w:color="auto"/>
            <w:left w:val="none" w:sz="0" w:space="0" w:color="auto"/>
            <w:bottom w:val="none" w:sz="0" w:space="0" w:color="auto"/>
            <w:right w:val="none" w:sz="0" w:space="0" w:color="auto"/>
          </w:divBdr>
        </w:div>
        <w:div w:id="1771702252">
          <w:marLeft w:val="300"/>
          <w:marRight w:val="0"/>
          <w:marTop w:val="90"/>
          <w:marBottom w:val="300"/>
          <w:divBdr>
            <w:top w:val="none" w:sz="0" w:space="0" w:color="auto"/>
            <w:left w:val="none" w:sz="0" w:space="0" w:color="auto"/>
            <w:bottom w:val="none" w:sz="0" w:space="0" w:color="auto"/>
            <w:right w:val="none" w:sz="0" w:space="0" w:color="auto"/>
          </w:divBdr>
        </w:div>
        <w:div w:id="2037845356">
          <w:marLeft w:val="300"/>
          <w:marRight w:val="0"/>
          <w:marTop w:val="90"/>
          <w:marBottom w:val="300"/>
          <w:divBdr>
            <w:top w:val="none" w:sz="0" w:space="0" w:color="auto"/>
            <w:left w:val="none" w:sz="0" w:space="0" w:color="auto"/>
            <w:bottom w:val="none" w:sz="0" w:space="0" w:color="auto"/>
            <w:right w:val="none" w:sz="0" w:space="0" w:color="auto"/>
          </w:divBdr>
        </w:div>
        <w:div w:id="1968658186">
          <w:marLeft w:val="300"/>
          <w:marRight w:val="0"/>
          <w:marTop w:val="90"/>
          <w:marBottom w:val="300"/>
          <w:divBdr>
            <w:top w:val="none" w:sz="0" w:space="0" w:color="auto"/>
            <w:left w:val="none" w:sz="0" w:space="0" w:color="auto"/>
            <w:bottom w:val="none" w:sz="0" w:space="0" w:color="auto"/>
            <w:right w:val="none" w:sz="0" w:space="0" w:color="auto"/>
          </w:divBdr>
        </w:div>
      </w:divsChild>
    </w:div>
    <w:div w:id="709762662">
      <w:bodyDiv w:val="1"/>
      <w:marLeft w:val="0"/>
      <w:marRight w:val="0"/>
      <w:marTop w:val="0"/>
      <w:marBottom w:val="0"/>
      <w:divBdr>
        <w:top w:val="none" w:sz="0" w:space="0" w:color="auto"/>
        <w:left w:val="none" w:sz="0" w:space="0" w:color="auto"/>
        <w:bottom w:val="none" w:sz="0" w:space="0" w:color="auto"/>
        <w:right w:val="none" w:sz="0" w:space="0" w:color="auto"/>
      </w:divBdr>
    </w:div>
    <w:div w:id="866799686">
      <w:bodyDiv w:val="1"/>
      <w:marLeft w:val="0"/>
      <w:marRight w:val="0"/>
      <w:marTop w:val="0"/>
      <w:marBottom w:val="0"/>
      <w:divBdr>
        <w:top w:val="none" w:sz="0" w:space="0" w:color="auto"/>
        <w:left w:val="none" w:sz="0" w:space="0" w:color="auto"/>
        <w:bottom w:val="none" w:sz="0" w:space="0" w:color="auto"/>
        <w:right w:val="none" w:sz="0" w:space="0" w:color="auto"/>
      </w:divBdr>
    </w:div>
    <w:div w:id="909385532">
      <w:bodyDiv w:val="1"/>
      <w:marLeft w:val="0"/>
      <w:marRight w:val="0"/>
      <w:marTop w:val="0"/>
      <w:marBottom w:val="0"/>
      <w:divBdr>
        <w:top w:val="none" w:sz="0" w:space="0" w:color="auto"/>
        <w:left w:val="none" w:sz="0" w:space="0" w:color="auto"/>
        <w:bottom w:val="none" w:sz="0" w:space="0" w:color="auto"/>
        <w:right w:val="none" w:sz="0" w:space="0" w:color="auto"/>
      </w:divBdr>
    </w:div>
    <w:div w:id="969626651">
      <w:bodyDiv w:val="1"/>
      <w:marLeft w:val="0"/>
      <w:marRight w:val="0"/>
      <w:marTop w:val="0"/>
      <w:marBottom w:val="0"/>
      <w:divBdr>
        <w:top w:val="none" w:sz="0" w:space="0" w:color="auto"/>
        <w:left w:val="none" w:sz="0" w:space="0" w:color="auto"/>
        <w:bottom w:val="none" w:sz="0" w:space="0" w:color="auto"/>
        <w:right w:val="none" w:sz="0" w:space="0" w:color="auto"/>
      </w:divBdr>
    </w:div>
    <w:div w:id="1106773548">
      <w:bodyDiv w:val="1"/>
      <w:marLeft w:val="0"/>
      <w:marRight w:val="0"/>
      <w:marTop w:val="0"/>
      <w:marBottom w:val="0"/>
      <w:divBdr>
        <w:top w:val="none" w:sz="0" w:space="0" w:color="auto"/>
        <w:left w:val="none" w:sz="0" w:space="0" w:color="auto"/>
        <w:bottom w:val="none" w:sz="0" w:space="0" w:color="auto"/>
        <w:right w:val="none" w:sz="0" w:space="0" w:color="auto"/>
      </w:divBdr>
    </w:div>
    <w:div w:id="1135634880">
      <w:bodyDiv w:val="1"/>
      <w:marLeft w:val="0"/>
      <w:marRight w:val="0"/>
      <w:marTop w:val="0"/>
      <w:marBottom w:val="0"/>
      <w:divBdr>
        <w:top w:val="none" w:sz="0" w:space="0" w:color="auto"/>
        <w:left w:val="none" w:sz="0" w:space="0" w:color="auto"/>
        <w:bottom w:val="none" w:sz="0" w:space="0" w:color="auto"/>
        <w:right w:val="none" w:sz="0" w:space="0" w:color="auto"/>
      </w:divBdr>
    </w:div>
    <w:div w:id="1163819826">
      <w:bodyDiv w:val="1"/>
      <w:marLeft w:val="0"/>
      <w:marRight w:val="0"/>
      <w:marTop w:val="0"/>
      <w:marBottom w:val="0"/>
      <w:divBdr>
        <w:top w:val="none" w:sz="0" w:space="0" w:color="auto"/>
        <w:left w:val="none" w:sz="0" w:space="0" w:color="auto"/>
        <w:bottom w:val="none" w:sz="0" w:space="0" w:color="auto"/>
        <w:right w:val="none" w:sz="0" w:space="0" w:color="auto"/>
      </w:divBdr>
    </w:div>
    <w:div w:id="1211268160">
      <w:bodyDiv w:val="1"/>
      <w:marLeft w:val="0"/>
      <w:marRight w:val="0"/>
      <w:marTop w:val="0"/>
      <w:marBottom w:val="0"/>
      <w:divBdr>
        <w:top w:val="none" w:sz="0" w:space="0" w:color="auto"/>
        <w:left w:val="none" w:sz="0" w:space="0" w:color="auto"/>
        <w:bottom w:val="none" w:sz="0" w:space="0" w:color="auto"/>
        <w:right w:val="none" w:sz="0" w:space="0" w:color="auto"/>
      </w:divBdr>
    </w:div>
    <w:div w:id="1282034283">
      <w:bodyDiv w:val="1"/>
      <w:marLeft w:val="0"/>
      <w:marRight w:val="0"/>
      <w:marTop w:val="0"/>
      <w:marBottom w:val="0"/>
      <w:divBdr>
        <w:top w:val="none" w:sz="0" w:space="0" w:color="auto"/>
        <w:left w:val="none" w:sz="0" w:space="0" w:color="auto"/>
        <w:bottom w:val="none" w:sz="0" w:space="0" w:color="auto"/>
        <w:right w:val="none" w:sz="0" w:space="0" w:color="auto"/>
      </w:divBdr>
    </w:div>
    <w:div w:id="1310549445">
      <w:bodyDiv w:val="1"/>
      <w:marLeft w:val="0"/>
      <w:marRight w:val="0"/>
      <w:marTop w:val="0"/>
      <w:marBottom w:val="0"/>
      <w:divBdr>
        <w:top w:val="none" w:sz="0" w:space="0" w:color="auto"/>
        <w:left w:val="none" w:sz="0" w:space="0" w:color="auto"/>
        <w:bottom w:val="none" w:sz="0" w:space="0" w:color="auto"/>
        <w:right w:val="none" w:sz="0" w:space="0" w:color="auto"/>
      </w:divBdr>
    </w:div>
    <w:div w:id="1384716195">
      <w:bodyDiv w:val="1"/>
      <w:marLeft w:val="0"/>
      <w:marRight w:val="0"/>
      <w:marTop w:val="0"/>
      <w:marBottom w:val="0"/>
      <w:divBdr>
        <w:top w:val="none" w:sz="0" w:space="0" w:color="auto"/>
        <w:left w:val="none" w:sz="0" w:space="0" w:color="auto"/>
        <w:bottom w:val="none" w:sz="0" w:space="0" w:color="auto"/>
        <w:right w:val="none" w:sz="0" w:space="0" w:color="auto"/>
      </w:divBdr>
    </w:div>
    <w:div w:id="1404916284">
      <w:bodyDiv w:val="1"/>
      <w:marLeft w:val="0"/>
      <w:marRight w:val="0"/>
      <w:marTop w:val="0"/>
      <w:marBottom w:val="0"/>
      <w:divBdr>
        <w:top w:val="none" w:sz="0" w:space="0" w:color="auto"/>
        <w:left w:val="none" w:sz="0" w:space="0" w:color="auto"/>
        <w:bottom w:val="none" w:sz="0" w:space="0" w:color="auto"/>
        <w:right w:val="none" w:sz="0" w:space="0" w:color="auto"/>
      </w:divBdr>
    </w:div>
    <w:div w:id="1419400557">
      <w:bodyDiv w:val="1"/>
      <w:marLeft w:val="0"/>
      <w:marRight w:val="0"/>
      <w:marTop w:val="0"/>
      <w:marBottom w:val="0"/>
      <w:divBdr>
        <w:top w:val="none" w:sz="0" w:space="0" w:color="auto"/>
        <w:left w:val="none" w:sz="0" w:space="0" w:color="auto"/>
        <w:bottom w:val="none" w:sz="0" w:space="0" w:color="auto"/>
        <w:right w:val="none" w:sz="0" w:space="0" w:color="auto"/>
      </w:divBdr>
    </w:div>
    <w:div w:id="1442143247">
      <w:bodyDiv w:val="1"/>
      <w:marLeft w:val="0"/>
      <w:marRight w:val="0"/>
      <w:marTop w:val="0"/>
      <w:marBottom w:val="0"/>
      <w:divBdr>
        <w:top w:val="none" w:sz="0" w:space="0" w:color="auto"/>
        <w:left w:val="none" w:sz="0" w:space="0" w:color="auto"/>
        <w:bottom w:val="none" w:sz="0" w:space="0" w:color="auto"/>
        <w:right w:val="none" w:sz="0" w:space="0" w:color="auto"/>
      </w:divBdr>
    </w:div>
    <w:div w:id="1463231612">
      <w:bodyDiv w:val="1"/>
      <w:marLeft w:val="0"/>
      <w:marRight w:val="0"/>
      <w:marTop w:val="0"/>
      <w:marBottom w:val="0"/>
      <w:divBdr>
        <w:top w:val="none" w:sz="0" w:space="0" w:color="auto"/>
        <w:left w:val="none" w:sz="0" w:space="0" w:color="auto"/>
        <w:bottom w:val="none" w:sz="0" w:space="0" w:color="auto"/>
        <w:right w:val="none" w:sz="0" w:space="0" w:color="auto"/>
      </w:divBdr>
    </w:div>
    <w:div w:id="1509520545">
      <w:bodyDiv w:val="1"/>
      <w:marLeft w:val="0"/>
      <w:marRight w:val="0"/>
      <w:marTop w:val="0"/>
      <w:marBottom w:val="0"/>
      <w:divBdr>
        <w:top w:val="none" w:sz="0" w:space="0" w:color="auto"/>
        <w:left w:val="none" w:sz="0" w:space="0" w:color="auto"/>
        <w:bottom w:val="none" w:sz="0" w:space="0" w:color="auto"/>
        <w:right w:val="none" w:sz="0" w:space="0" w:color="auto"/>
      </w:divBdr>
    </w:div>
    <w:div w:id="1518933123">
      <w:bodyDiv w:val="1"/>
      <w:marLeft w:val="0"/>
      <w:marRight w:val="0"/>
      <w:marTop w:val="0"/>
      <w:marBottom w:val="0"/>
      <w:divBdr>
        <w:top w:val="none" w:sz="0" w:space="0" w:color="auto"/>
        <w:left w:val="none" w:sz="0" w:space="0" w:color="auto"/>
        <w:bottom w:val="none" w:sz="0" w:space="0" w:color="auto"/>
        <w:right w:val="none" w:sz="0" w:space="0" w:color="auto"/>
      </w:divBdr>
    </w:div>
    <w:div w:id="1978412964">
      <w:bodyDiv w:val="1"/>
      <w:marLeft w:val="0"/>
      <w:marRight w:val="0"/>
      <w:marTop w:val="0"/>
      <w:marBottom w:val="0"/>
      <w:divBdr>
        <w:top w:val="none" w:sz="0" w:space="0" w:color="auto"/>
        <w:left w:val="none" w:sz="0" w:space="0" w:color="auto"/>
        <w:bottom w:val="none" w:sz="0" w:space="0" w:color="auto"/>
        <w:right w:val="none" w:sz="0" w:space="0" w:color="auto"/>
      </w:divBdr>
    </w:div>
    <w:div w:id="2117600853">
      <w:bodyDiv w:val="1"/>
      <w:marLeft w:val="0"/>
      <w:marRight w:val="0"/>
      <w:marTop w:val="0"/>
      <w:marBottom w:val="0"/>
      <w:divBdr>
        <w:top w:val="none" w:sz="0" w:space="0" w:color="auto"/>
        <w:left w:val="none" w:sz="0" w:space="0" w:color="auto"/>
        <w:bottom w:val="none" w:sz="0" w:space="0" w:color="auto"/>
        <w:right w:val="none" w:sz="0" w:space="0" w:color="auto"/>
      </w:divBdr>
    </w:div>
    <w:div w:id="212476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epc.com/news/video-game-statistic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wepc.com/news/video-game-statistics/" TargetMode="Externa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Electronic Arts - Liquidity Ratios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'[financial ratios.xlsx]EA'!$A$4</c:f>
              <c:strCache>
                <c:ptCount val="1"/>
                <c:pt idx="0">
                  <c:v>Current Ratio</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'[financial ratios.xlsx]EA'!$B$3:$G$3</c:f>
              <c:strCache>
                <c:ptCount val="6"/>
                <c:pt idx="0">
                  <c:v>2019</c:v>
                </c:pt>
                <c:pt idx="1">
                  <c:v>2018</c:v>
                </c:pt>
                <c:pt idx="2">
                  <c:v>2017</c:v>
                </c:pt>
                <c:pt idx="3">
                  <c:v>2016</c:v>
                </c:pt>
                <c:pt idx="4">
                  <c:v>2015</c:v>
                </c:pt>
                <c:pt idx="5">
                  <c:v>Industry Average</c:v>
                </c:pt>
              </c:strCache>
            </c:strRef>
          </c:cat>
          <c:val>
            <c:numRef>
              <c:f>'[financial ratios.xlsx]EA'!$B$4:$G$4</c:f>
              <c:numCache>
                <c:formatCode>0.00</c:formatCode>
                <c:ptCount val="6"/>
                <c:pt idx="0">
                  <c:v>2.8172185430463577</c:v>
                </c:pt>
                <c:pt idx="1">
                  <c:v>2.4102769971898836</c:v>
                </c:pt>
                <c:pt idx="2">
                  <c:v>2.1527950310559008</c:v>
                </c:pt>
                <c:pt idx="3">
                  <c:v>1.8006617038875103</c:v>
                </c:pt>
                <c:pt idx="4">
                  <c:v>1.3542045868219876</c:v>
                </c:pt>
                <c:pt idx="5" formatCode="General">
                  <c:v>1.77</c:v>
                </c:pt>
              </c:numCache>
            </c:numRef>
          </c:val>
          <c:extLst xmlns:c16r2="http://schemas.microsoft.com/office/drawing/2015/06/chart">
            <c:ext xmlns:c16="http://schemas.microsoft.com/office/drawing/2014/chart" uri="{C3380CC4-5D6E-409C-BE32-E72D297353CC}">
              <c16:uniqueId val="{00000000-01B1-4215-9A05-9526A6869333}"/>
            </c:ext>
          </c:extLst>
        </c:ser>
        <c:ser>
          <c:idx val="1"/>
          <c:order val="1"/>
          <c:tx>
            <c:strRef>
              <c:f>'[financial ratios.xlsx]EA'!$A$5</c:f>
              <c:strCache>
                <c:ptCount val="1"/>
                <c:pt idx="0">
                  <c:v>Quick Ratio</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dLbl>
              <c:idx val="0"/>
              <c:layout>
                <c:manualLayout>
                  <c:x val="8.5470085470085271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01B1-4215-9A05-9526A6869333}"/>
                </c:ext>
                <c:ext xmlns:c15="http://schemas.microsoft.com/office/drawing/2012/chart" uri="{CE6537A1-D6FC-4f65-9D91-7224C49458BB}"/>
              </c:extLst>
            </c:dLbl>
            <c:dLbl>
              <c:idx val="1"/>
              <c:layout>
                <c:manualLayout>
                  <c:x val="1.282051282051286E-2"/>
                  <c:y val="-2.7794301921693133E-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01B1-4215-9A05-9526A6869333}"/>
                </c:ext>
                <c:ext xmlns:c15="http://schemas.microsoft.com/office/drawing/2012/chart" uri="{CE6537A1-D6FC-4f65-9D91-7224C49458BB}"/>
              </c:extLst>
            </c:dLbl>
            <c:dLbl>
              <c:idx val="2"/>
              <c:layout>
                <c:manualLayout>
                  <c:x val="1.282051282051282E-2"/>
                  <c:y val="-5.5588603843386266E-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01B1-4215-9A05-9526A6869333}"/>
                </c:ext>
                <c:ext xmlns:c15="http://schemas.microsoft.com/office/drawing/2012/chart" uri="{CE6537A1-D6FC-4f65-9D91-7224C49458BB}"/>
              </c:extLst>
            </c:dLbl>
            <c:dLbl>
              <c:idx val="3"/>
              <c:layout>
                <c:manualLayout>
                  <c:x val="1.0683760683760606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01B1-4215-9A05-9526A6869333}"/>
                </c:ext>
                <c:ext xmlns:c15="http://schemas.microsoft.com/office/drawing/2012/chart" uri="{CE6537A1-D6FC-4f65-9D91-7224C49458BB}"/>
              </c:extLst>
            </c:dLbl>
            <c:dLbl>
              <c:idx val="4"/>
              <c:layout>
                <c:manualLayout>
                  <c:x val="1.2820512820512664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01B1-4215-9A05-9526A6869333}"/>
                </c:ext>
                <c:ext xmlns:c15="http://schemas.microsoft.com/office/drawing/2012/chart" uri="{CE6537A1-D6FC-4f65-9D91-7224C49458BB}"/>
              </c:extLst>
            </c:dLbl>
            <c:dLbl>
              <c:idx val="5"/>
              <c:layout>
                <c:manualLayout>
                  <c:x val="2.3504273504273504E-2"/>
                  <c:y val="2.316825948450617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01B1-4215-9A05-9526A6869333}"/>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'[financial ratios.xlsx]EA'!$B$3:$G$3</c:f>
              <c:strCache>
                <c:ptCount val="6"/>
                <c:pt idx="0">
                  <c:v>2019</c:v>
                </c:pt>
                <c:pt idx="1">
                  <c:v>2018</c:v>
                </c:pt>
                <c:pt idx="2">
                  <c:v>2017</c:v>
                </c:pt>
                <c:pt idx="3">
                  <c:v>2016</c:v>
                </c:pt>
                <c:pt idx="4">
                  <c:v>2015</c:v>
                </c:pt>
                <c:pt idx="5">
                  <c:v>Industry Average</c:v>
                </c:pt>
              </c:strCache>
            </c:strRef>
          </c:cat>
          <c:val>
            <c:numRef>
              <c:f>'[financial ratios.xlsx]EA'!$B$5:$G$5</c:f>
              <c:numCache>
                <c:formatCode>0.00</c:formatCode>
                <c:ptCount val="6"/>
                <c:pt idx="0">
                  <c:v>2.8172185430463577</c:v>
                </c:pt>
                <c:pt idx="1">
                  <c:v>2.4102769971898836</c:v>
                </c:pt>
                <c:pt idx="2">
                  <c:v>2.1527950310559008</c:v>
                </c:pt>
                <c:pt idx="3">
                  <c:v>1.7870140612076095</c:v>
                </c:pt>
                <c:pt idx="4">
                  <c:v>1.3410993811430652</c:v>
                </c:pt>
                <c:pt idx="5" formatCode="General">
                  <c:v>1.85</c:v>
                </c:pt>
              </c:numCache>
            </c:numRef>
          </c:val>
          <c:extLst xmlns:c16r2="http://schemas.microsoft.com/office/drawing/2015/06/chart">
            <c:ext xmlns:c16="http://schemas.microsoft.com/office/drawing/2014/chart" uri="{C3380CC4-5D6E-409C-BE32-E72D297353CC}">
              <c16:uniqueId val="{00000007-01B1-4215-9A05-9526A6869333}"/>
            </c:ext>
          </c:extLst>
        </c:ser>
        <c:ser>
          <c:idx val="2"/>
          <c:order val="2"/>
          <c:tx>
            <c:strRef>
              <c:f>'[financial ratios.xlsx]EA'!$A$6</c:f>
              <c:strCache>
                <c:ptCount val="1"/>
                <c:pt idx="0">
                  <c:v>Cash Ratio</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'[financial ratios.xlsx]EA'!$B$3:$G$3</c:f>
              <c:strCache>
                <c:ptCount val="6"/>
                <c:pt idx="0">
                  <c:v>2019</c:v>
                </c:pt>
                <c:pt idx="1">
                  <c:v>2018</c:v>
                </c:pt>
                <c:pt idx="2">
                  <c:v>2017</c:v>
                </c:pt>
                <c:pt idx="3">
                  <c:v>2016</c:v>
                </c:pt>
                <c:pt idx="4">
                  <c:v>2015</c:v>
                </c:pt>
                <c:pt idx="5">
                  <c:v>Industry Average</c:v>
                </c:pt>
              </c:strCache>
            </c:strRef>
          </c:cat>
          <c:val>
            <c:numRef>
              <c:f>'[financial ratios.xlsx]EA'!$B$6:$G$6</c:f>
              <c:numCache>
                <c:formatCode>0.00</c:formatCode>
                <c:ptCount val="6"/>
                <c:pt idx="0">
                  <c:v>2.0785871964679909</c:v>
                </c:pt>
                <c:pt idx="1">
                  <c:v>1.709353673223605</c:v>
                </c:pt>
                <c:pt idx="2">
                  <c:v>1.0621118012422359</c:v>
                </c:pt>
                <c:pt idx="3">
                  <c:v>1.0310173697270471</c:v>
                </c:pt>
                <c:pt idx="4">
                  <c:v>0.7528212595558792</c:v>
                </c:pt>
              </c:numCache>
            </c:numRef>
          </c:val>
          <c:extLst xmlns:c16r2="http://schemas.microsoft.com/office/drawing/2015/06/chart">
            <c:ext xmlns:c16="http://schemas.microsoft.com/office/drawing/2014/chart" uri="{C3380CC4-5D6E-409C-BE32-E72D297353CC}">
              <c16:uniqueId val="{00000008-01B1-4215-9A05-9526A6869333}"/>
            </c:ext>
          </c:extLst>
        </c:ser>
        <c:dLbls>
          <c:showLegendKey val="0"/>
          <c:showVal val="0"/>
          <c:showCatName val="0"/>
          <c:showSerName val="0"/>
          <c:showPercent val="0"/>
          <c:showBubbleSize val="0"/>
        </c:dLbls>
        <c:gapWidth val="219"/>
        <c:overlap val="-27"/>
        <c:axId val="1096587104"/>
        <c:axId val="1096584928"/>
      </c:barChart>
      <c:catAx>
        <c:axId val="109658710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6584928"/>
        <c:crosses val="autoZero"/>
        <c:auto val="1"/>
        <c:lblAlgn val="ctr"/>
        <c:lblOffset val="100"/>
        <c:noMultiLvlLbl val="0"/>
      </c:catAx>
      <c:valAx>
        <c:axId val="1096584928"/>
        <c:scaling>
          <c:orientation val="minMax"/>
        </c:scaling>
        <c:delete val="0"/>
        <c:axPos val="l"/>
        <c:majorGridlines>
          <c:spPr>
            <a:ln>
              <a:solidFill>
                <a:schemeClr val="tx1">
                  <a:lumMod val="15000"/>
                  <a:lumOff val="85000"/>
                </a:schemeClr>
              </a:solidFill>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658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Activision Blizzard - Liquidity Ratios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'[financial ratios.xlsx]Blizzard'!$A$3</c:f>
              <c:strCache>
                <c:ptCount val="1"/>
                <c:pt idx="0">
                  <c:v>Current Ratio</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'[financial ratios.xlsx]Blizzard'!$B$2:$G$2</c:f>
              <c:strCache>
                <c:ptCount val="6"/>
                <c:pt idx="0">
                  <c:v>2019</c:v>
                </c:pt>
                <c:pt idx="1">
                  <c:v>2018</c:v>
                </c:pt>
                <c:pt idx="2">
                  <c:v>2017</c:v>
                </c:pt>
                <c:pt idx="3">
                  <c:v>2016</c:v>
                </c:pt>
                <c:pt idx="4">
                  <c:v>2015</c:v>
                </c:pt>
                <c:pt idx="5">
                  <c:v>Industry Average</c:v>
                </c:pt>
              </c:strCache>
            </c:strRef>
          </c:cat>
          <c:val>
            <c:numRef>
              <c:f>'[financial ratios.xlsx]Blizzard'!$B$3:$G$3</c:f>
              <c:numCache>
                <c:formatCode>0.00</c:formatCode>
                <c:ptCount val="6"/>
                <c:pt idx="0">
                  <c:v>2.5015437392795885</c:v>
                </c:pt>
                <c:pt idx="1">
                  <c:v>2.3111279333838</c:v>
                </c:pt>
                <c:pt idx="2">
                  <c:v>1.77996177996178</c:v>
                </c:pt>
                <c:pt idx="3">
                  <c:v>1.8185240963855422</c:v>
                </c:pt>
                <c:pt idx="4">
                  <c:v>1.2972041363462274</c:v>
                </c:pt>
                <c:pt idx="5" formatCode="General">
                  <c:v>1.77</c:v>
                </c:pt>
              </c:numCache>
            </c:numRef>
          </c:val>
          <c:extLst xmlns:c16r2="http://schemas.microsoft.com/office/drawing/2015/06/chart">
            <c:ext xmlns:c16="http://schemas.microsoft.com/office/drawing/2014/chart" uri="{C3380CC4-5D6E-409C-BE32-E72D297353CC}">
              <c16:uniqueId val="{00000000-4A2B-446F-9B37-70ABF5C87C61}"/>
            </c:ext>
          </c:extLst>
        </c:ser>
        <c:ser>
          <c:idx val="1"/>
          <c:order val="1"/>
          <c:tx>
            <c:strRef>
              <c:f>'[financial ratios.xlsx]Blizzard'!$A$4</c:f>
              <c:strCache>
                <c:ptCount val="1"/>
                <c:pt idx="0">
                  <c:v>Quick Ratio</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dLbl>
              <c:idx val="0"/>
              <c:layout>
                <c:manualLayout>
                  <c:x val="1.0683760683760684E-2"/>
                  <c:y val="-2.7794301921693133E-17"/>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0683760683760722E-2"/>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8.5470085470084681E-3"/>
                  <c:y val="-5.5588603843386266E-17"/>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41025641025641E-3"/>
                  <c:y val="-5.5588603843386266E-17"/>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0683760683760684E-2"/>
                  <c:y val="-5.5588603843386266E-17"/>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8.5470085470085479E-3"/>
                  <c:y val="2.170963364993215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A2B-446F-9B37-70ABF5C87C61}"/>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'[financial ratios.xlsx]Blizzard'!$B$2:$G$2</c:f>
              <c:strCache>
                <c:ptCount val="6"/>
                <c:pt idx="0">
                  <c:v>2019</c:v>
                </c:pt>
                <c:pt idx="1">
                  <c:v>2018</c:v>
                </c:pt>
                <c:pt idx="2">
                  <c:v>2017</c:v>
                </c:pt>
                <c:pt idx="3">
                  <c:v>2016</c:v>
                </c:pt>
                <c:pt idx="4">
                  <c:v>2015</c:v>
                </c:pt>
                <c:pt idx="5">
                  <c:v>Industry Average</c:v>
                </c:pt>
              </c:strCache>
            </c:strRef>
          </c:cat>
          <c:val>
            <c:numRef>
              <c:f>'[financial ratios.xlsx]Blizzard'!$B$4:$G$4</c:f>
              <c:numCache>
                <c:formatCode>0.00</c:formatCode>
                <c:ptCount val="6"/>
                <c:pt idx="0">
                  <c:v>2.4905660377358489</c:v>
                </c:pt>
                <c:pt idx="1">
                  <c:v>2.2948523845571538</c:v>
                </c:pt>
                <c:pt idx="2">
                  <c:v>1.7674037674037675</c:v>
                </c:pt>
                <c:pt idx="3">
                  <c:v>1.8000753012048192</c:v>
                </c:pt>
                <c:pt idx="4">
                  <c:v>1.2481807736499426</c:v>
                </c:pt>
                <c:pt idx="5" formatCode="General">
                  <c:v>1.85</c:v>
                </c:pt>
              </c:numCache>
            </c:numRef>
          </c:val>
          <c:extLst xmlns:c16r2="http://schemas.microsoft.com/office/drawing/2015/06/chart">
            <c:ext xmlns:c16="http://schemas.microsoft.com/office/drawing/2014/chart" uri="{C3380CC4-5D6E-409C-BE32-E72D297353CC}">
              <c16:uniqueId val="{00000002-4A2B-446F-9B37-70ABF5C87C61}"/>
            </c:ext>
          </c:extLst>
        </c:ser>
        <c:ser>
          <c:idx val="2"/>
          <c:order val="2"/>
          <c:tx>
            <c:strRef>
              <c:f>'[financial ratios.xlsx]Blizzard'!$A$5</c:f>
              <c:strCache>
                <c:ptCount val="1"/>
                <c:pt idx="0">
                  <c:v>Cash Ratio</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'[financial ratios.xlsx]Blizzard'!$B$2:$G$2</c:f>
              <c:strCache>
                <c:ptCount val="6"/>
                <c:pt idx="0">
                  <c:v>2019</c:v>
                </c:pt>
                <c:pt idx="1">
                  <c:v>2018</c:v>
                </c:pt>
                <c:pt idx="2">
                  <c:v>2017</c:v>
                </c:pt>
                <c:pt idx="3">
                  <c:v>2016</c:v>
                </c:pt>
                <c:pt idx="4">
                  <c:v>2015</c:v>
                </c:pt>
                <c:pt idx="5">
                  <c:v>Industry Average</c:v>
                </c:pt>
              </c:strCache>
            </c:strRef>
          </c:cat>
          <c:val>
            <c:numRef>
              <c:f>'[financial ratios.xlsx]Blizzard'!$B$5:$G$5</c:f>
              <c:numCache>
                <c:formatCode>0.00</c:formatCode>
                <c:ptCount val="6"/>
                <c:pt idx="0">
                  <c:v>1.9876500857632933</c:v>
                </c:pt>
                <c:pt idx="1">
                  <c:v>1.5991672975018925</c:v>
                </c:pt>
                <c:pt idx="2">
                  <c:v>1.2866502866502867</c:v>
                </c:pt>
                <c:pt idx="3">
                  <c:v>1.2217620481927711</c:v>
                </c:pt>
                <c:pt idx="4">
                  <c:v>0.69819992340099579</c:v>
                </c:pt>
              </c:numCache>
            </c:numRef>
          </c:val>
          <c:extLst xmlns:c16r2="http://schemas.microsoft.com/office/drawing/2015/06/chart">
            <c:ext xmlns:c16="http://schemas.microsoft.com/office/drawing/2014/chart" uri="{C3380CC4-5D6E-409C-BE32-E72D297353CC}">
              <c16:uniqueId val="{00000003-4A2B-446F-9B37-70ABF5C87C61}"/>
            </c:ext>
          </c:extLst>
        </c:ser>
        <c:dLbls>
          <c:showLegendKey val="0"/>
          <c:showVal val="0"/>
          <c:showCatName val="0"/>
          <c:showSerName val="0"/>
          <c:showPercent val="0"/>
          <c:showBubbleSize val="0"/>
        </c:dLbls>
        <c:gapWidth val="164"/>
        <c:overlap val="-22"/>
        <c:axId val="1096583840"/>
        <c:axId val="1096587648"/>
      </c:barChart>
      <c:catAx>
        <c:axId val="109658384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6587648"/>
        <c:crosses val="autoZero"/>
        <c:auto val="1"/>
        <c:lblAlgn val="ctr"/>
        <c:lblOffset val="100"/>
        <c:noMultiLvlLbl val="0"/>
      </c:catAx>
      <c:valAx>
        <c:axId val="1096587648"/>
        <c:scaling>
          <c:orientation val="minMax"/>
        </c:scaling>
        <c:delete val="0"/>
        <c:axPos val="l"/>
        <c:majorGridlines>
          <c:spPr>
            <a:ln>
              <a:solidFill>
                <a:schemeClr val="tx1">
                  <a:lumMod val="15000"/>
                  <a:lumOff val="85000"/>
                </a:schemeClr>
              </a:solidFill>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658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229AE1-4CA7-4A77-9BD8-F843785AC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45</Pages>
  <Words>9817</Words>
  <Characters>55963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Financial Analysis</vt:lpstr>
    </vt:vector>
  </TitlesOfParts>
  <Company/>
  <LinksUpToDate>false</LinksUpToDate>
  <CharactersWithSpaces>65649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dc:title>
  <dc:subject>Electronic Arts, Inc. &amp; Activision Blizzard, Inc.</dc:subject>
  <dc:creator>Eniola Osineye</dc:creator>
  <cp:keywords/>
  <dc:description/>
  <cp:lastModifiedBy>User</cp:lastModifiedBy>
  <cp:revision>5</cp:revision>
  <dcterms:created xsi:type="dcterms:W3CDTF">2020-04-17T02:59:00Z</dcterms:created>
  <dcterms:modified xsi:type="dcterms:W3CDTF">2020-04-18T00:05:00Z</dcterms:modified>
  <cp:category>BUS 363</cp:category>
</cp:coreProperties>
</file>