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 Engine Project — Decisions Log</w:t>
      </w:r>
    </w:p>
    <w:p>
      <w:pPr>
        <w:pStyle w:val="Heading2"/>
      </w:pPr>
      <w:r>
        <w:t>1. Data Contracts</w:t>
      </w:r>
    </w:p>
    <w:p>
      <w:r>
        <w:t xml:space="preserve">- **Universe (tickers)**: </w:t>
        <w:br/>
        <w:t xml:space="preserve">  148070.KS, 385560.KS, BND, AGG, HYG, EMB, VWOB, 278530.KS, EWY, SPY, QQQ, IWM, VWO, IEMG, CMOD.L, GSG, GLD, RWO, IFGL</w:t>
        <w:br/>
        <w:br/>
        <w:t>- **Data source &amp; storage**: Fetch via yfinance → clean → update local CSV (one per ETF).</w:t>
        <w:br/>
        <w:t>- **Prices**: Use Adjusted Close as proxy for total return index (TRI).</w:t>
        <w:br/>
        <w:t>- **Base currency**: KRW.</w:t>
        <w:br/>
        <w:t>- **FX policy**: Forecast in local currency; convert returns to KRW only at portfolio/backtest stage (unhedged, 100% exposure).</w:t>
        <w:br/>
        <w:t>- **Calendars**: Use union of KRX + NYSE calendars; allow as-of last available price with max staleness cap of 3 business days.</w:t>
        <w:br/>
        <w:t>- **Missing data**: No forward-fill in features/targets; only controlled as-of carry at rebalance dates.</w:t>
        <w:br/>
        <w:t>- **Survivorship bias**: Accept current-universe v1 with inception masks (drop pre-inception rows).</w:t>
        <w:br/>
        <w:t>- **PIT (Point-in-time)**: Strictly enforce—no future data leakage; only use info known at or before t.</w:t>
      </w:r>
    </w:p>
    <w:p>
      <w:pPr>
        <w:pStyle w:val="Heading2"/>
      </w:pPr>
      <w:r>
        <w:t>2. Forecast Specification</w:t>
      </w:r>
    </w:p>
    <w:p>
      <w:r>
        <w:t>- **Horizon**: 20 trading days, customizable via config and method parameter.</w:t>
        <w:br/>
        <w:t>- **Target variable**: Forward log return of TRI (default; arithmetic returns optional).</w:t>
        <w:br/>
        <w:t>- **Modeling approach**: Per-asset XGBoost models.</w:t>
        <w:br/>
        <w:t>- **Features (v1)**:</w:t>
        <w:br/>
        <w:t xml:space="preserve">  * Rolling log returns: windows [5, 20, 60]</w:t>
        <w:br/>
        <w:t xml:space="preserve">  * Rolling volatility: [20, 60]</w:t>
        <w:br/>
        <w:t xml:space="preserve">  * Momentum (MA ratios/z-scores): [20, 60, 120]</w:t>
        <w:br/>
        <w:t>- **Cross-validation**: Expanding walk-forward with 5 folds, 5-day embargo; customizable.</w:t>
        <w:br/>
        <w:t>- **Evaluation metrics**:</w:t>
        <w:br/>
        <w:t xml:space="preserve">  * Regression: RMSE, MAE, R²</w:t>
        <w:br/>
        <w:t xml:space="preserve">  * Directional: Hit ratio (sign)</w:t>
        <w:br/>
        <w:t xml:space="preserve">  * F1 score deferred unless classification model added.</w:t>
      </w:r>
    </w:p>
    <w:p>
      <w:pPr>
        <w:pStyle w:val="Heading2"/>
      </w:pPr>
      <w:r>
        <w:t>3. Portfolio &amp; Backtesting</w:t>
      </w:r>
    </w:p>
    <w:p>
      <w:r>
        <w:t>- **Portfolio optimizer**: Black–Litterman using forecaster views in local returns, then converted to KRW.</w:t>
        <w:br/>
        <w:t>- **Backtester**: Operates in KRW; applies FX returns additively for USD assets.</w:t>
        <w:br/>
        <w:t>- **Rebalancing schedule**: To be finalized, but will align to a global rebalance date (likely NYSE month-end).</w:t>
      </w:r>
    </w:p>
    <w:p>
      <w:pPr>
        <w:pStyle w:val="Heading2"/>
      </w:pPr>
      <w:r>
        <w:t>4. Governance &amp; Extensibility</w:t>
      </w:r>
    </w:p>
    <w:p>
      <w:r>
        <w:t>- **Configuration**: All core parameters (horizon, features, CV folds, costs) set in YAML configs.</w:t>
        <w:br/>
        <w:t>- **Extensibility**: Horizon, features, and CV scheme are all customizable without code changes.</w:t>
        <w:br/>
        <w:t>- **Documentation**: This decisions log serves as stakeholder reference for methodology choices.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