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00"/>
      </w:pPr>
      <w:r>
        <w:rPr>
          <w:rFonts w:ascii="Arial" w:cs="Arial" w:eastAsia="Arial" w:hAnsi="Arial"/>
          <w:b/>
          <w:bCs/>
          <w:color w:val="1A3C6E"/>
          <w:sz w:val="44"/>
          <w:szCs w:val="44"/>
        </w:rPr>
        <w:t xml:space="preserve">SportRank Parser</w:t>
      </w:r>
    </w:p>
    <w:p>
      <w:pPr>
        <w:spacing w:before="80" w:after="8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Обновление проектной документации v2.1</w:t>
      </w:r>
    </w:p>
    <w:p>
      <w:pPr>
        <w:spacing w:before="80" w:after="4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23 февраля 2026  •  По итогам внешнего аудита</w:t>
      </w:r>
    </w:p>
    <w:p>
      <w:pPr>
        <w:pStyle w:val="Heading1"/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1. Новые поля данных: IAS_ID и номер представления</w:t>
      </w:r>
    </w:p>
    <w:p>
      <w:pPr>
        <w:spacing w:before="120" w:after="80"/>
      </w:pPr>
      <w:r>
        <w:rPr>
          <w:rFonts w:ascii="Arial" w:cs="Arial" w:eastAsia="Arial" w:hAnsi="Arial"/>
          <w:sz w:val="22"/>
          <w:szCs w:val="22"/>
        </w:rPr>
        <w:t xml:space="preserve">По результатам анализа приказов ЦСТиСК/Москомспорта выявлены два параметра, которые ранее обрабатывались через extra_fields, но заслуживают выделения в отдельные колонки БД.</w:t>
      </w:r>
    </w:p>
    <w:p>
      <w:pPr>
        <w:pStyle w:val="Heading2"/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1.1. IAS_ID (ias_id)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Идентификационный номер лица в Автоматизированной информационной системе спортивной отрасли города Москвы — ИАС «Спорт». Это числовой ID (обычно 5–7 цифр), присваиваемый системой каждому зарегистрированному лицу: спортсмену, судье, тренеру, специалисту.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Колонка в БД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assignments.ias_id (INTEGER, nullable)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 данных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Целое число (NULL если отсутствует)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Источники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ГКУ «ЦСТиСК» Москомспорта, Москомспорт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Где встречается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Приказы о присвоении разрядов (2-й/3-й, КМС, 1-й), категорий судей, специалистов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Пример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ias_id: 48231 (столбец «ИАС» или «ID» в таблице приказа)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Ценность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Устойчивый идентификатор для дедупликации лиц внутри московских источников. Позволяет связать разные присвоения одного лица.</w:t>
            </w:r>
          </w:p>
        </w:tc>
      </w:tr>
    </w:tbl>
    <w:p>
      <w:pPr>
        <w:pStyle w:val="Heading2"/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1.2. Номер представления (submission_number)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Регистрационный номер пакета документов, поданных на присвоение спортивного разряда, звания или квалификационной категории. Присваивается при регистрации пакета в соответствующем органе.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Колонка в БД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assignments.submission_number (TEXT, nullable)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 данных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Текст (может содержать буквенные префиксы, напр. «Р-1234»)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Обязательность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Необязательное. Отсутствует у ряда органов и типов приказов (напр. у судейских приказов ЦСТиСК С-2/26 есть только дата представления, но не номер)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Источники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ЦСТиСК (разряды), Москомспорт, МОСОБЛСПОРТ, некоторые региональные органы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Связанное поле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submission_date (дата представления) — хранится в extra_fields</w:t>
            </w:r>
          </w:p>
        </w:tc>
      </w:tr>
    </w:tbl>
    <w:p>
      <w:pPr>
        <w:pStyle w:val="Heading2"/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1.3. Изменения в артефактах проекта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schema.sql: колонка external_id заменена на ias_id (INTEGER) и добавлена submission_number (TEXT). Добавлены индексы. Обновлено представление v_assignments_full.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llm_extractor.py: поля ias_id и submission_number вынесены на верхний уровень JSON-ответа LLM (ранее submission_number был в extra_fields). Обновлены промпт, модель AssignmentRow, валидация и CLI.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ocr_pipeline.py: не затронут (работает с текстом, не со структурой данных).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pdf_downloader.py: не затронут.</w:t>
      </w:r>
    </w:p>
    <w:p>
      <w:r>
        <w:br w:type="page"/>
      </w:r>
    </w:p>
    <w:p>
      <w:pPr>
        <w:pStyle w:val="Heading1"/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2. Интеграция результатов внешнего аудита</w:t>
      </w:r>
    </w:p>
    <w:p>
      <w:pPr>
        <w:spacing w:before="120" w:after="80"/>
      </w:pPr>
      <w:r>
        <w:rPr>
          <w:rFonts w:ascii="Arial" w:cs="Arial" w:eastAsia="Arial" w:hAnsi="Arial"/>
          <w:sz w:val="22"/>
          <w:szCs w:val="22"/>
        </w:rPr>
        <w:t xml:space="preserve">Проведён внешний анализ проекта с фокусом на архитектурные пробелы, правовой контур и операционную устойчивость. Ниже — ключевые выводы и реализованные изменения.</w:t>
      </w:r>
    </w:p>
    <w:p>
      <w:pPr>
        <w:pStyle w:val="Heading2"/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2.1. Событийная модель данных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Внешний аудит подтверждает: ядро БД правильно построено как «реестр событий присвоения», а не «единый профиль человека». При отсутствии устойчивого идентификатора (а он часто отсутствует за пределами Москвы) построение профилей ведёт к неконтролируемым коллизиям (однофамильцы, ошибки OCR). IAS_ID частично решает эту проблему для московских источников.</w:t>
      </w:r>
    </w:p>
    <w:p>
      <w:pPr>
        <w:pStyle w:val="Heading2"/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2.2. Наблюдаемость и метрики качества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Реализовано (добавлено в schema.sql):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и реализация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Coverage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Доля обнаруженных документов, прошедших полный цикл до записи в БД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OCR rate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Доля документов с OCR — прямой индикатор стоимости и риска ошибок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 completeness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Заполненность ключевых полей (JSONB: fio, sport, birth_date и др.)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Row yield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Среднее/мин/макс записей на документ; алерт при «внезапно 0»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Confidence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Сквозной скоринг записи (OCR + LLM)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 rot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Доля ссылок, ставших недоступными (при режиме «ссылка+хэш»)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Новая таблица quality_metrics хранит эти метрики per-source, per-run. Таблица golden_sets хранит эталонные наборы для QA.</w:t>
      </w:r>
    </w:p>
    <w:p>
      <w:pPr>
        <w:pStyle w:val="Heading2"/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2.3. Классификация источников по риску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Добавлено поле risk_class в registry_sources (green/amber/red):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13"/>
        <w:gridCol w:w="3913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Класс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Характеристика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Стратегия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Green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Простые порталы без антибота, машиночитаемые PDF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httpx + rate limiting, ETag/If-Modified-Since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Amber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JS-рендер, плавающая структура, Servicepipe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Playwright, увеличенные задержки, change detection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Частые блокировки, CAPTCHA, нестабильные URL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Полу-ручной импорт на MVP. Согласование whitelist.</w:t>
            </w:r>
          </w:p>
        </w:tc>
      </w:tr>
    </w:tbl>
    <w:p>
      <w:pPr>
        <w:pStyle w:val="Heading2"/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2.4. Основание официальности источника (8-ФЗ)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Добавлено поле official_basis в registry_sources. По 8-ФЗ, официальный сайт — это сайт, доменное имя которого принадлежит соответствующему органу/организации. Это не просто юридическая справка, а критерий качества реестра источников.</w:t>
      </w:r>
    </w:p>
    <w:p>
      <w:pPr>
        <w:pStyle w:val="Heading2"/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2.5. Change detection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Добавлены поля last_page_hash, last_etag, last_checked_at в registry_sources. Паттерн: хранить хеш последней известной версии страницы-источника. Новый документ обнаруживается по появлению новой ссылки или изменению хеша. Позволяет проверять десятки источников за минуты.</w:t>
      </w:r>
    </w:p>
    <w:p>
      <w:r>
        <w:br w:type="page"/>
      </w:r>
    </w:p>
    <w:p>
      <w:pPr>
        <w:pStyle w:val="Heading1"/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3. Правовой контур (по итогам аудита)</w:t>
      </w:r>
    </w:p>
    <w:p>
      <w:pPr>
        <w:spacing w:before="120" w:after="80"/>
      </w:pPr>
      <w:r>
        <w:rPr>
          <w:rFonts w:ascii="Arial" w:cs="Arial" w:eastAsia="Arial" w:hAnsi="Arial"/>
          <w:sz w:val="22"/>
          <w:szCs w:val="22"/>
        </w:rPr>
        <w:t xml:space="preserve">Внешний аудит подтвердил: проект неизбежно подпадает под 152-ФЗ. Хранение ФИО + дата рождения + спортивная организация в собственной БД — это обработка ПДн.</w:t>
      </w:r>
    </w:p>
    <w:p>
      <w:pPr>
        <w:pStyle w:val="Heading2"/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3.1. Принятые решения для MVP</w:t>
      </w:r>
    </w:p>
    <w:p>
      <w:pPr>
        <w:pStyle w:val="ListParagraph"/>
        <w:numPr>
          <w:ilvl w:val="0"/>
          <w:numId w:val="2"/>
        </w:numPr>
        <w:spacing w:before="80" w:after="40"/>
      </w:pPr>
      <w:r>
        <w:rPr>
          <w:rFonts w:ascii="Arial" w:cs="Arial" w:eastAsia="Arial" w:hAnsi="Arial"/>
          <w:sz w:val="22"/>
          <w:szCs w:val="22"/>
        </w:rPr>
        <w:t xml:space="preserve">Закрытый админ-контур, без публичной витрины ПДн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Минимизация полей и доступа; цель обработки — внутренний контроль публикаций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RBAC и аудит с первой версии (кто смотрел/выгружал/подтверждал)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External LLM/OCR: только при ясном юридическом основании; локальный OCR как дефолт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Режим хранения файлов «ссылка+хэш» как дефолт; полные копии — точечно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Политика обработки ПДн (ст. 18.1), меры защиты (ст. 19), оценка уведомления (ст. 22)</w:t>
      </w:r>
    </w:p>
    <w:p>
      <w:pPr>
        <w:pStyle w:val="Heading2"/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3.2. Антибот-защита — позиция проекта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Внешний аудит явно указывает: нельзя закладывать в ТЗ технические методы обхода CAPTCHA/WAF. Текущая архитектура (pdf_downloader.py с Playwright) — на границе допустимого. Рекомендованная стратегия:</w:t>
      </w:r>
    </w:p>
    <w:p>
      <w:pPr>
        <w:pStyle w:val="ListParagraph"/>
        <w:numPr>
          <w:ilvl w:val="0"/>
          <w:numId w:val="3"/>
        </w:numPr>
        <w:spacing w:before="60" w:after="30"/>
      </w:pPr>
      <w:r>
        <w:rPr>
          <w:rFonts w:ascii="Arial" w:cs="Arial" w:eastAsia="Arial" w:hAnsi="Arial"/>
          <w:sz w:val="22"/>
          <w:szCs w:val="22"/>
        </w:rPr>
        <w:t xml:space="preserve">Прозрачный User-Agent и контакт (вместо маскировки) → whitelist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Rate limiting и доменные квоты; backoff при 429/503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ETag/If-Modified-Since для минимизации трафика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Для Red-источников: полу-ручной импорт + шаблон письма о согласовании whitelist</w:t>
      </w:r>
    </w:p>
    <w:p>
      <w:pPr>
        <w:pStyle w:val="ListParagraph"/>
        <w:numPr>
          <w:ilvl w:val="0"/>
          <w:numId w:val="3"/>
        </w:numPr>
        <w:spacing w:before="30" w:after="80"/>
      </w:pPr>
      <w:r>
        <w:rPr>
          <w:rFonts w:ascii="Arial" w:cs="Arial" w:eastAsia="Arial" w:hAnsi="Arial"/>
          <w:sz w:val="22"/>
          <w:szCs w:val="22"/>
        </w:rPr>
        <w:t xml:space="preserve">Опора на 8-ФЗ: официальные запросы на машиночитаемую выгрузку</w:t>
      </w:r>
    </w:p>
    <w:p>
      <w:r>
        <w:br w:type="page"/>
      </w:r>
    </w:p>
    <w:p>
      <w:pPr>
        <w:pStyle w:val="Heading1"/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4. QA-процедуры и golden sets</w:t>
      </w:r>
    </w:p>
    <w:p>
      <w:pPr>
        <w:pStyle w:val="Heading2"/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4.1. Обязательные QA-процедуры (регламент)</w:t>
      </w:r>
    </w:p>
    <w:p>
      <w:pPr>
        <w:pStyle w:val="ListParagraph"/>
        <w:numPr>
          <w:ilvl w:val="0"/>
          <w:numId w:val="2"/>
        </w:numPr>
        <w:spacing w:before="80" w:after="40"/>
      </w:pPr>
      <w:r>
        <w:rPr>
          <w:rFonts w:ascii="Arial" w:cs="Arial" w:eastAsia="Arial" w:hAnsi="Arial"/>
          <w:sz w:val="22"/>
          <w:szCs w:val="22"/>
        </w:rPr>
        <w:t xml:space="preserve">Golden sets по источникам — обязательный барьер релиза парсеров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Human-in-loop для нового источника / новой версии парсера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Rollback парсера и повторная обработка (reprocess) — штатные операции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Дифф-отчёты при смене версии: изменение completeness / OCR rate / row yield</w:t>
      </w:r>
    </w:p>
    <w:p>
      <w:pPr>
        <w:pStyle w:val="Heading2"/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4.2. Таблица golden_sets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Добавлена в schema.sql. Каждый golden set привязан к source_id, содержит эталонный JSON и информацию о верификации. Контракт CI/CD: агент формирует PR → CI прогоняет golden set → человек утверждает → CD выкатывает.</w:t>
      </w:r>
    </w:p>
    <w:p>
      <w:r>
        <w:br w:type="page"/>
      </w:r>
    </w:p>
    <w:p>
      <w:pPr>
        <w:pStyle w:val="Heading1"/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5. Обновлённая карта компонентов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00"/>
        <w:gridCol w:w="2100"/>
        <w:gridCol w:w="2426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Заметки v2.1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Схема БД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schema.sql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Обновлён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ias_id, submission_number, quality_metrics, golden_sets, risk_class, official_basis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PDF Downloader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pdf_downloader.py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Готов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Рекомендация: добавить ETag, прозрачный UA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 Extractor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llm_extractor.py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Обновлён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ias_id + submission_number в промпте и модели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OCR Pipeline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ocr_pipeline.py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Готов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Трёхуровневый: pypdf→Tesseract→Vision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Normalizer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 Следующий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Справочник видов спорта (ВРВС/ЕВСК)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Detector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 Планируется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Поля hash/etag готовы в БД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 Планируется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RBAC + аудит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Quality Monitor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 Планируется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Таблица quality_metrics готова в БД</w:t>
            </w:r>
          </w:p>
        </w:tc>
      </w:tr>
    </w:tbl>
    <w:p>
      <w:r>
        <w:br w:type="page"/>
      </w:r>
    </w:p>
    <w:p>
      <w:pPr>
        <w:pStyle w:val="Heading1"/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6. Таблица рисков (по итогам аудита)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713"/>
        <w:gridCol w:w="271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Последствие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Изменение структуры сайта источника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Парсер молча ломается, данные неполные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detector (DOM-hash), golden sets, алерт на row yield =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Блокировка антиботом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Источник недоступен, gap в данных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risk_class сегментация, whitelist-согласование, Plan B (ручной импорт)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Нарушение 152-ФЗ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Штрафы, репутационный ущерб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Закрытый контур, RBAC, аудит, политика ПДн, локальный OCR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Однофамильцы / коллизии ФИО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Ложные связи между записями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Событийная модель (не профили). ias_id для Москвы. Нечёткий поиск + ручная верификация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Трансграничная передача ПДн через LLM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Нарушение ст. 12 152-ФЗ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Локальный OCR как дефолт. LLM API только при ясном основании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Деградация OCR на новых сканах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Пропуски записей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OCR rate метрика, confidence scoring, Vision fallback</w:t>
            </w:r>
          </w:p>
        </w:tc>
      </w:tr>
    </w:tbl>
    <w:p>
      <w:r>
        <w:br w:type="page"/>
      </w:r>
    </w:p>
    <w:p>
      <w:pPr>
        <w:pStyle w:val="Heading1"/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7. Обновлённый Roadmap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2800"/>
        <w:gridCol w:w="23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результаты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MVP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6–10 недель от 23.02.2026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Registry + Fetcher + OCR Pipeline + LLM Extractor + Admin UI (approve/rollback) + golden sets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3–6 источников (Москва, СПб, МО)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Промышленный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3–6 месяцев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Наблюдаемость + алерты + RBAC + нормализация спорта (ВРВС/ЕВСК) + процесс релизов парсеров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20–40 источников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Масштаб + ФГИС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6–12 месяцев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Пакетная перепроцессия + подготовка к СМЭВ/REST API ФГИС «Спорт» + унификация справочников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60+ источников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SportRank Parser v2.1  •  Обновлено 23.02.2026  •  По итогам внешнего аудита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B4C7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D609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2026-02-23T18:18:15.831Z</dcterms:created>
  <dcterms:modified xsi:type="dcterms:W3CDTF">2026-02-23T18:18:15.832Z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