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720" w:type="dxa"/>
        <w:tblInd w:w="-14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0"/>
        <w:gridCol w:w="8300"/>
        <w:gridCol w:w="6060"/>
      </w:tblGrid>
      <w:tr w:rsidR="001A2D50" w:rsidRPr="001A2D50" w14:paraId="096B172B" w14:textId="77777777" w:rsidTr="001A2D50">
        <w:trPr>
          <w:trHeight w:val="584"/>
        </w:trPr>
        <w:tc>
          <w:tcPr>
            <w:tcW w:w="4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13F4A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>Aggregation Function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5E4E1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>Descriptor</w:t>
            </w:r>
          </w:p>
        </w:tc>
        <w:tc>
          <w:tcPr>
            <w:tcW w:w="6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A7443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 xml:space="preserve">Example Data Field for Use </w:t>
            </w:r>
          </w:p>
        </w:tc>
      </w:tr>
      <w:tr w:rsidR="001A2D50" w:rsidRPr="001A2D50" w14:paraId="6AE2FEC4" w14:textId="77777777" w:rsidTr="001A2D50">
        <w:trPr>
          <w:trHeight w:val="584"/>
        </w:trPr>
        <w:tc>
          <w:tcPr>
            <w:tcW w:w="4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48484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>Date assembler, day first</w:t>
            </w:r>
          </w:p>
          <w:p w14:paraId="673CA91F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 xml:space="preserve">Date assembler, month first 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0FD21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sz w:val="20"/>
                <w:szCs w:val="20"/>
                <w:lang w:val="en-US"/>
              </w:rPr>
              <w:t>When mapping a date, the appropriate aggregation function is selected to match how the date is represented in the source data file: DD/MM/YYYY or MM/DD/YYYY</w:t>
            </w:r>
          </w:p>
        </w:tc>
        <w:tc>
          <w:tcPr>
            <w:tcW w:w="6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B9FEB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i/>
                <w:iCs/>
                <w:sz w:val="20"/>
                <w:szCs w:val="20"/>
              </w:rPr>
              <w:t>Visit Date</w:t>
            </w:r>
          </w:p>
        </w:tc>
      </w:tr>
      <w:tr w:rsidR="001A2D50" w:rsidRPr="001A2D50" w14:paraId="04B7AD6E" w14:textId="77777777" w:rsidTr="001A2D50">
        <w:trPr>
          <w:trHeight w:val="584"/>
        </w:trPr>
        <w:tc>
          <w:tcPr>
            <w:tcW w:w="4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4A3E9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>Max value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0DB1D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sz w:val="20"/>
                <w:szCs w:val="20"/>
              </w:rPr>
              <w:t>Selecting a maximum value from multiple source data columns - when several columns in the source data contain information for a data field this function allows the maximum value to be selected</w:t>
            </w:r>
          </w:p>
        </w:tc>
        <w:tc>
          <w:tcPr>
            <w:tcW w:w="6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2CD96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i/>
                <w:iCs/>
                <w:sz w:val="20"/>
                <w:szCs w:val="20"/>
              </w:rPr>
              <w:t xml:space="preserve">Adverse Event: </w:t>
            </w:r>
          </w:p>
          <w:p w14:paraId="7F15DC77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i/>
                <w:iCs/>
                <w:sz w:val="20"/>
                <w:szCs w:val="20"/>
              </w:rPr>
              <w:t>Maximum severity grade</w:t>
            </w:r>
          </w:p>
        </w:tc>
      </w:tr>
      <w:tr w:rsidR="001A2D50" w:rsidRPr="001A2D50" w14:paraId="02F5B2D9" w14:textId="77777777" w:rsidTr="001A2D50">
        <w:trPr>
          <w:trHeight w:val="584"/>
        </w:trPr>
        <w:tc>
          <w:tcPr>
            <w:tcW w:w="4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51387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>Array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AEF38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sz w:val="20"/>
                <w:szCs w:val="20"/>
              </w:rPr>
              <w:t>Values are taken from several source data columns and written into one database column.  The individual values will then appear as options in the Event filter</w:t>
            </w:r>
          </w:p>
        </w:tc>
        <w:tc>
          <w:tcPr>
            <w:tcW w:w="6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814A1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  <w:u w:val="single"/>
              </w:rPr>
              <w:t>ONLY</w:t>
            </w:r>
            <w:r w:rsidRPr="001A2D50">
              <w:rPr>
                <w:b/>
                <w:bCs/>
                <w:sz w:val="20"/>
                <w:szCs w:val="20"/>
              </w:rPr>
              <w:t xml:space="preserve"> </w:t>
            </w:r>
            <w:r w:rsidRPr="001A2D50">
              <w:rPr>
                <w:b/>
                <w:bCs/>
                <w:i/>
                <w:iCs/>
                <w:sz w:val="20"/>
                <w:szCs w:val="20"/>
              </w:rPr>
              <w:t>used for Adverse Event:</w:t>
            </w:r>
          </w:p>
          <w:p w14:paraId="4CCC43CC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i/>
                <w:iCs/>
                <w:sz w:val="20"/>
                <w:szCs w:val="20"/>
              </w:rPr>
              <w:t>1) Action taken due to severity grade changes for investigational drugs</w:t>
            </w:r>
          </w:p>
          <w:p w14:paraId="5351C4BF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i/>
                <w:iCs/>
                <w:sz w:val="20"/>
                <w:szCs w:val="20"/>
              </w:rPr>
              <w:t>2) AE severity grade changes</w:t>
            </w:r>
          </w:p>
        </w:tc>
      </w:tr>
      <w:tr w:rsidR="001A2D50" w:rsidRPr="001A2D50" w14:paraId="71D6821D" w14:textId="77777777" w:rsidTr="001A2D50">
        <w:trPr>
          <w:trHeight w:val="584"/>
        </w:trPr>
        <w:tc>
          <w:tcPr>
            <w:tcW w:w="4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AF20B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>Concatenate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46737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sz w:val="20"/>
                <w:szCs w:val="20"/>
              </w:rPr>
              <w:t>This allows long descriptions from several columns in the source data to be collected into one database cell</w:t>
            </w:r>
          </w:p>
        </w:tc>
        <w:tc>
          <w:tcPr>
            <w:tcW w:w="6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883F1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i/>
                <w:iCs/>
                <w:sz w:val="20"/>
                <w:szCs w:val="20"/>
              </w:rPr>
              <w:t>Hospitalisation:</w:t>
            </w:r>
          </w:p>
          <w:p w14:paraId="0C6AA206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i/>
                <w:iCs/>
                <w:sz w:val="20"/>
                <w:szCs w:val="20"/>
              </w:rPr>
              <w:t>AE description</w:t>
            </w:r>
          </w:p>
        </w:tc>
      </w:tr>
      <w:tr w:rsidR="001A2D50" w:rsidRPr="001A2D50" w14:paraId="79702340" w14:textId="77777777" w:rsidTr="001A2D50">
        <w:trPr>
          <w:trHeight w:val="584"/>
        </w:trPr>
        <w:tc>
          <w:tcPr>
            <w:tcW w:w="4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A8CBE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>Date assembler default time, day first</w:t>
            </w:r>
          </w:p>
          <w:p w14:paraId="400638C1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 xml:space="preserve">Date assembler default time, month first 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C14E3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sz w:val="20"/>
                <w:szCs w:val="20"/>
              </w:rPr>
              <w:t xml:space="preserve">This is used when mapping a date and time, </w:t>
            </w:r>
            <w:r w:rsidRPr="001A2D50">
              <w:rPr>
                <w:sz w:val="20"/>
                <w:szCs w:val="20"/>
                <w:lang w:val="en-US"/>
              </w:rPr>
              <w:t>the appropriate aggregation function is selected to match how the date is represented in the source data file: DD/MM/YYYY or MM/DD/YYYY</w:t>
            </w:r>
          </w:p>
          <w:p w14:paraId="4F7A1AF6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sz w:val="20"/>
                <w:szCs w:val="20"/>
                <w:lang w:val="en-US"/>
              </w:rPr>
              <w:t>This will be followed by time</w:t>
            </w:r>
            <w:r w:rsidRPr="001A2D50">
              <w:rPr>
                <w:sz w:val="20"/>
                <w:szCs w:val="20"/>
              </w:rPr>
              <w:t xml:space="preserve"> which is populated in the default value</w:t>
            </w:r>
          </w:p>
        </w:tc>
        <w:tc>
          <w:tcPr>
            <w:tcW w:w="6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928AF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i/>
                <w:iCs/>
                <w:sz w:val="20"/>
                <w:szCs w:val="20"/>
              </w:rPr>
              <w:t>Exacerbations:</w:t>
            </w:r>
          </w:p>
          <w:p w14:paraId="4F4A88D5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i/>
                <w:iCs/>
                <w:sz w:val="20"/>
                <w:szCs w:val="20"/>
              </w:rPr>
              <w:t xml:space="preserve">The start date of the exacerbation </w:t>
            </w:r>
          </w:p>
        </w:tc>
      </w:tr>
      <w:tr w:rsidR="001A2D50" w:rsidRPr="001A2D50" w14:paraId="05A67F80" w14:textId="77777777" w:rsidTr="001A2D50">
        <w:trPr>
          <w:trHeight w:val="584"/>
        </w:trPr>
        <w:tc>
          <w:tcPr>
            <w:tcW w:w="4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54037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>Array: Date assembler, day first</w:t>
            </w:r>
          </w:p>
          <w:p w14:paraId="0A7D6277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b/>
                <w:bCs/>
                <w:sz w:val="20"/>
                <w:szCs w:val="20"/>
              </w:rPr>
              <w:t xml:space="preserve">Array: Date assembler, month first 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37129A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sz w:val="20"/>
                <w:szCs w:val="20"/>
              </w:rPr>
              <w:t xml:space="preserve">Dates are taken from several source data columns and written into one database column.  The </w:t>
            </w:r>
            <w:r w:rsidRPr="001A2D50">
              <w:rPr>
                <w:sz w:val="20"/>
                <w:szCs w:val="20"/>
                <w:lang w:val="en-US"/>
              </w:rPr>
              <w:t>appropriate aggregation function is selected to match how the date is represented in the source data file: DD/MM/YYYY or MM/DD/YYYY</w:t>
            </w:r>
          </w:p>
        </w:tc>
        <w:tc>
          <w:tcPr>
            <w:tcW w:w="6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D1473B" w14:textId="77777777" w:rsidR="001A2D50" w:rsidRPr="001A2D50" w:rsidRDefault="001A2D50" w:rsidP="001A2D50">
            <w:pPr>
              <w:rPr>
                <w:sz w:val="20"/>
                <w:szCs w:val="20"/>
              </w:rPr>
            </w:pPr>
            <w:r w:rsidRPr="001A2D50">
              <w:rPr>
                <w:sz w:val="20"/>
                <w:szCs w:val="20"/>
              </w:rPr>
              <w:t>N/A</w:t>
            </w:r>
          </w:p>
        </w:tc>
      </w:tr>
    </w:tbl>
    <w:p w14:paraId="1E534976" w14:textId="77777777" w:rsidR="001A2D50" w:rsidRDefault="001A2D50"/>
    <w:sectPr w:rsidR="001A2D50" w:rsidSect="001A2D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CABF" w14:textId="77777777" w:rsidR="001A2D50" w:rsidRDefault="001A2D50" w:rsidP="001A2D50">
      <w:pPr>
        <w:spacing w:after="0" w:line="240" w:lineRule="auto"/>
      </w:pPr>
      <w:r>
        <w:separator/>
      </w:r>
    </w:p>
  </w:endnote>
  <w:endnote w:type="continuationSeparator" w:id="0">
    <w:p w14:paraId="45D02DBC" w14:textId="77777777" w:rsidR="001A2D50" w:rsidRDefault="001A2D50" w:rsidP="001A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42AF" w14:textId="77777777" w:rsidR="001A2D50" w:rsidRDefault="001A2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3FA9" w14:textId="77777777" w:rsidR="001A2D50" w:rsidRDefault="001A2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3735" w14:textId="77777777" w:rsidR="001A2D50" w:rsidRDefault="001A2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3735E" w14:textId="77777777" w:rsidR="001A2D50" w:rsidRDefault="001A2D50" w:rsidP="001A2D50">
      <w:pPr>
        <w:spacing w:after="0" w:line="240" w:lineRule="auto"/>
      </w:pPr>
      <w:r>
        <w:separator/>
      </w:r>
    </w:p>
  </w:footnote>
  <w:footnote w:type="continuationSeparator" w:id="0">
    <w:p w14:paraId="0204F585" w14:textId="77777777" w:rsidR="001A2D50" w:rsidRDefault="001A2D50" w:rsidP="001A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69E4" w14:textId="77777777" w:rsidR="001A2D50" w:rsidRDefault="001A2D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569CED" wp14:editId="2BCEF8C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Un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7125A" w14:textId="77777777" w:rsidR="001A2D50" w:rsidRPr="001A2D50" w:rsidRDefault="001A2D5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1A2D5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569C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HAtlfJAIAAFEEAAAOAAAAAAAAAAAAAAAAAC4CAABkcnMvZTJvRG9jLnhtbFBLAQIt&#10;ABQABgAIAAAAIQCEsNMo1gAAAAMBAAAPAAAAAAAAAAAAAAAAAH4EAABkcnMvZG93bnJldi54bWxQ&#10;SwUGAAAAAAQABADzAAAAgQUAAAAA&#10;" filled="f" stroked="f">
              <v:fill o:detectmouseclick="t"/>
              <v:textbox style="mso-fit-shape-to-text:t" inset="0,0,0,0">
                <w:txbxContent>
                  <w:p w14:paraId="7587125A" w14:textId="77777777" w:rsidR="001A2D50" w:rsidRPr="001A2D50" w:rsidRDefault="001A2D5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1A2D5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FEC01" w14:textId="77777777" w:rsidR="001A2D50" w:rsidRDefault="001A2D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2ACB7A" wp14:editId="0ACCD15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Un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6284C0" w14:textId="77777777" w:rsidR="001A2D50" w:rsidRPr="001A2D50" w:rsidRDefault="001A2D5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1A2D5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ACB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" filled="f" stroked="f">
              <v:fill o:detectmouseclick="t"/>
              <v:textbox style="mso-fit-shape-to-text:t" inset="0,0,0,0">
                <w:txbxContent>
                  <w:p w14:paraId="4E6284C0" w14:textId="77777777" w:rsidR="001A2D50" w:rsidRPr="001A2D50" w:rsidRDefault="001A2D5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1A2D5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0960C" w14:textId="77777777" w:rsidR="001A2D50" w:rsidRDefault="001A2D5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882EDA" wp14:editId="797A542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Un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A8EC4" w14:textId="77777777" w:rsidR="001A2D50" w:rsidRPr="001A2D50" w:rsidRDefault="001A2D5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1A2D5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82E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" filled="f" stroked="f">
              <v:fill o:detectmouseclick="t"/>
              <v:textbox style="mso-fit-shape-to-text:t" inset="0,0,0,0">
                <w:txbxContent>
                  <w:p w14:paraId="64FA8EC4" w14:textId="77777777" w:rsidR="001A2D50" w:rsidRPr="001A2D50" w:rsidRDefault="001A2D5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1A2D5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sDel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50"/>
    <w:rsid w:val="001A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E908"/>
  <w15:chartTrackingRefBased/>
  <w15:docId w15:val="{6FBCC018-3D8E-4D8B-AF93-D5B4BA3A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50"/>
  </w:style>
  <w:style w:type="paragraph" w:styleId="Footer">
    <w:name w:val="footer"/>
    <w:basedOn w:val="Normal"/>
    <w:link w:val="FooterChar"/>
    <w:uiPriority w:val="99"/>
    <w:unhideWhenUsed/>
    <w:rsid w:val="001A2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Fouziah Butt</dc:creator>
  <cp:keywords/>
  <dc:description/>
  <cp:lastModifiedBy>Fouziah Butt</cp:lastModifiedBy>
  <cp:revision>1</cp:revision>
  <dcterms:created xsi:type="dcterms:W3CDTF">2021-11-11T13:00:00Z</dcterms:created>
  <dcterms:modified xsi:type="dcterms:W3CDTF">2021-11-11T13:03:00Z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Unrestricted</vt:lpwstr>
  </property>
  <property fmtid="{D5CDD505-2E9C-101B-9397-08002B2CF9AE}" pid="5" name="MSIP_Label_e0a8e240-e0e5-4637-9840-79064dfcc464_Enabled">
    <vt:lpwstr>true</vt:lpwstr>
  </property>
  <property fmtid="{D5CDD505-2E9C-101B-9397-08002B2CF9AE}" pid="6" name="MSIP_Label_e0a8e240-e0e5-4637-9840-79064dfcc464_SetDate">
    <vt:lpwstr>2021-11-11T13:00:51Z</vt:lpwstr>
  </property>
  <property fmtid="{D5CDD505-2E9C-101B-9397-08002B2CF9AE}" pid="7" name="MSIP_Label_e0a8e240-e0e5-4637-9840-79064dfcc464_Method">
    <vt:lpwstr>Standard</vt:lpwstr>
  </property>
  <property fmtid="{D5CDD505-2E9C-101B-9397-08002B2CF9AE}" pid="8" name="MSIP_Label_e0a8e240-e0e5-4637-9840-79064dfcc464_Name">
    <vt:lpwstr>e0a8e240-e0e5-4637-9840-79064dfcc464</vt:lpwstr>
  </property>
  <property fmtid="{D5CDD505-2E9C-101B-9397-08002B2CF9AE}" pid="9" name="MSIP_Label_e0a8e240-e0e5-4637-9840-79064dfcc464_SiteId">
    <vt:lpwstr>0d7928da-1b33-41db-823d-8aa44d90b743</vt:lpwstr>
  </property>
  <property fmtid="{D5CDD505-2E9C-101B-9397-08002B2CF9AE}" pid="10" name="MSIP_Label_e0a8e240-e0e5-4637-9840-79064dfcc464_ActionId">
    <vt:lpwstr>ac7b4452-3ff7-4e92-ad27-6ade26d92db9</vt:lpwstr>
  </property>
  <property fmtid="{D5CDD505-2E9C-101B-9397-08002B2CF9AE}" pid="11" name="MSIP_Label_e0a8e240-e0e5-4637-9840-79064dfcc464_ContentBits">
    <vt:lpwstr>1</vt:lpwstr>
  </property>
</Properties>
</file>