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172A"/>
          <w:sz w:val="44"/>
        </w:rPr>
        <w:t>Elijah Parfitt</w:t>
      </w:r>
    </w:p>
    <w:p>
      <w:pPr>
        <w:spacing w:after="80"/>
      </w:pPr>
      <w:r>
        <w:rPr>
          <w:b/>
          <w:color w:val="0369A1"/>
          <w:sz w:val="25"/>
        </w:rPr>
        <w:t>Business Intelligence Developer &amp; Freelance Data Consultant</w:t>
      </w:r>
    </w:p>
    <w:p>
      <w:pPr>
        <w:spacing w:after="40"/>
      </w:pPr>
      <w:r>
        <w:rPr>
          <w:color w:val="334155"/>
          <w:sz w:val="19"/>
        </w:rPr>
        <w:t>elijah@databyelijah.com  |  databyelijah.com  |  linkedin.com/in/databyelijah  |  github.com/eparfitt1002</w:t>
      </w:r>
    </w:p>
    <w:p>
      <w:pPr>
        <w:spacing w:before="200" w:after="80"/>
        <w:pBdr>
          <w:bottom w:val="single" w:sz="10" w:space="2" w:color="0369A1"/>
        </w:pBdr>
      </w:pPr>
      <w:r>
        <w:rPr>
          <w:b/>
          <w:color w:val="0F172A"/>
          <w:sz w:val="22"/>
        </w:rPr>
        <w:t>PROFESSIONAL SUMMARY</w:t>
      </w:r>
    </w:p>
    <w:p>
      <w:pPr>
        <w:spacing w:after="80"/>
      </w:pPr>
      <w:r>
        <w:rPr>
          <w:sz w:val="21"/>
        </w:rPr>
        <w:t>Business Intelligence Developer with 5+ years of experience building enterprise Power BI reporting and automated data pipelines. Combines dashboard and DAX expertise with hands-on SQL, Python, and cloud data engineering (Databricks, Microsoft Fabric) to turn large, messy datasets into decision-ready analytics. Proven track record of measurable business impact — six-figure cost savings, 80% faster reporting, and data models spanning millions of rows. Seeking freelance and contract engagements in data analysis, dashboard development, and light data engineering.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color w:val="0369A1"/>
                <w:sz w:val="28"/>
              </w:rPr>
              <w:t>$650K+</w:t>
            </w:r>
          </w:p>
        </w:tc>
        <w:tc>
          <w:tcPr>
            <w:tcW w:type="dxa" w:w="3456"/>
          </w:tcPr>
          <w:p>
            <w:r>
              <w:rPr>
                <w:b/>
                <w:color w:val="0369A1"/>
                <w:sz w:val="28"/>
              </w:rPr>
              <w:t>$100K+</w:t>
            </w:r>
          </w:p>
        </w:tc>
        <w:tc>
          <w:tcPr>
            <w:tcW w:type="dxa" w:w="3456"/>
          </w:tcPr>
          <w:p>
            <w:r>
              <w:rPr>
                <w:b/>
                <w:color w:val="0369A1"/>
                <w:sz w:val="28"/>
              </w:rPr>
              <w:t>80%</w:t>
            </w:r>
          </w:p>
        </w:tc>
      </w:tr>
      <w:tr>
        <w:tc>
          <w:tcPr>
            <w:tcW w:type="dxa" w:w="3456"/>
          </w:tcPr>
          <w:p>
            <w:r>
              <w:rPr>
                <w:color w:val="475569"/>
                <w:sz w:val="18"/>
              </w:rPr>
              <w:t>Annual Savings Delivered</w:t>
            </w:r>
          </w:p>
        </w:tc>
        <w:tc>
          <w:tcPr>
            <w:tcW w:type="dxa" w:w="3456"/>
          </w:tcPr>
          <w:p>
            <w:r>
              <w:rPr>
                <w:color w:val="475569"/>
                <w:sz w:val="18"/>
              </w:rPr>
              <w:t>Return Mitigation</w:t>
            </w:r>
          </w:p>
        </w:tc>
        <w:tc>
          <w:tcPr>
            <w:tcW w:type="dxa" w:w="3456"/>
          </w:tcPr>
          <w:p>
            <w:r>
              <w:rPr>
                <w:color w:val="475569"/>
                <w:sz w:val="18"/>
              </w:rPr>
              <w:t>Faster Reporting</w:t>
            </w:r>
          </w:p>
        </w:tc>
      </w:tr>
    </w:tbl>
    <w:p>
      <w:pPr>
        <w:spacing w:before="200" w:after="80"/>
        <w:pBdr>
          <w:bottom w:val="single" w:sz="10" w:space="2" w:color="0369A1"/>
        </w:pBdr>
      </w:pPr>
      <w:r>
        <w:rPr>
          <w:b/>
          <w:color w:val="0F172A"/>
          <w:sz w:val="22"/>
        </w:rPr>
        <w:t>CORE 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736"/>
          </w:tcPr>
          <w:p>
            <w:r>
              <w:rPr>
                <w:b/>
                <w:color w:val="0F172A"/>
                <w:sz w:val="20"/>
              </w:rPr>
              <w:t>BI &amp; Visualization</w:t>
            </w:r>
          </w:p>
        </w:tc>
        <w:tc>
          <w:tcPr>
            <w:tcW w:type="dxa" w:w="5184"/>
          </w:tcPr>
          <w:p>
            <w:r>
              <w:rPr>
                <w:color w:val="334155"/>
                <w:sz w:val="20"/>
              </w:rPr>
              <w:t>Power BI, DAX, Power Query, Tableau, Executive KPI Reporting, Data Modeling (Star Schema)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0F172A"/>
                <w:sz w:val="20"/>
              </w:rPr>
              <w:t>Data Engineering &amp; Cloud</w:t>
            </w:r>
          </w:p>
        </w:tc>
        <w:tc>
          <w:tcPr>
            <w:tcW w:type="dxa" w:w="5184"/>
          </w:tcPr>
          <w:p>
            <w:r>
              <w:rPr>
                <w:color w:val="334155"/>
                <w:sz w:val="20"/>
              </w:rPr>
              <w:t>Azure Databricks, Microsoft Fabric, Apache Spark, ETL/ELT Pipeline Design, Google Cloud Run, Cloud Scheduler, Cloud Storage, PostgreSQL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0F172A"/>
                <w:sz w:val="20"/>
              </w:rPr>
              <w:t>Languages &amp; Automation</w:t>
            </w:r>
          </w:p>
        </w:tc>
        <w:tc>
          <w:tcPr>
            <w:tcW w:type="dxa" w:w="5184"/>
          </w:tcPr>
          <w:p>
            <w:r>
              <w:rPr>
                <w:color w:val="334155"/>
                <w:sz w:val="20"/>
              </w:rPr>
              <w:t>SQL, Python, Power Automate, Workflow Automation, API Integration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0F172A"/>
                <w:sz w:val="20"/>
              </w:rPr>
              <w:t>Applied AI</w:t>
            </w:r>
          </w:p>
        </w:tc>
        <w:tc>
          <w:tcPr>
            <w:tcW w:type="dxa" w:w="5184"/>
          </w:tcPr>
          <w:p>
            <w:r>
              <w:rPr>
                <w:color w:val="334155"/>
                <w:sz w:val="20"/>
              </w:rPr>
              <w:t>Gemini API / LLM Integration, Prompt Engineering, Computer Vision &amp; Image Processing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0F172A"/>
                <w:sz w:val="20"/>
              </w:rPr>
              <w:t>Platforms &amp; Tools</w:t>
            </w:r>
          </w:p>
        </w:tc>
        <w:tc>
          <w:tcPr>
            <w:tcW w:type="dxa" w:w="5184"/>
          </w:tcPr>
          <w:p>
            <w:r>
              <w:rPr>
                <w:color w:val="334155"/>
                <w:sz w:val="20"/>
              </w:rPr>
              <w:t>Excel, Salesforce, Streamlit, Docker, Flask, Google Sheets API</w:t>
            </w:r>
          </w:p>
        </w:tc>
      </w:tr>
    </w:tbl>
    <w:p>
      <w:pPr>
        <w:spacing w:before="200" w:after="80"/>
        <w:pBdr>
          <w:bottom w:val="single" w:sz="10" w:space="2" w:color="0369A1"/>
        </w:pBdr>
      </w:pPr>
      <w:r>
        <w:rPr>
          <w:b/>
          <w:color w:val="0F172A"/>
          <w:sz w:val="22"/>
        </w:rPr>
        <w:t>PROFESSIONAL EXPERIENCE</w:t>
      </w:r>
    </w:p>
    <w:p>
      <w:pPr>
        <w:spacing w:after="0"/>
      </w:pPr>
      <w:r>
        <w:rPr>
          <w:b/>
          <w:color w:val="0F172A"/>
          <w:sz w:val="21"/>
        </w:rPr>
        <w:t>Business Intelligence Developer — Gap Inc.</w:t>
      </w:r>
    </w:p>
    <w:p>
      <w:pPr>
        <w:spacing w:after="80"/>
      </w:pPr>
      <w:r>
        <w:rPr>
          <w:color w:val="475569"/>
          <w:sz w:val="19"/>
        </w:rPr>
        <w:t>May 2021 – Present  |  Hybrid, United States</w:t>
      </w:r>
    </w:p>
    <w:p>
      <w:pPr>
        <w:pStyle w:val="ListBullet"/>
        <w:spacing w:after="40"/>
        <w:ind w:left="317"/>
      </w:pPr>
      <w:r>
        <w:rPr>
          <w:sz w:val="20"/>
        </w:rPr>
        <w:t>Deliver high-volume data insights and reporting on customer experience for contact center leadership, translating complex, messy datasets into actionable business recommendations.</w:t>
      </w:r>
    </w:p>
    <w:p>
      <w:pPr>
        <w:pStyle w:val="ListBullet"/>
        <w:spacing w:after="40"/>
        <w:ind w:left="317"/>
      </w:pPr>
      <w:r>
        <w:rPr>
          <w:sz w:val="20"/>
        </w:rPr>
        <w:t>Design and build Power BI dashboards and reports using DAX, Power Query, and star-schema data modeling, engineered to run efficiently across multi-million-row datasets.</w:t>
      </w:r>
    </w:p>
    <w:p>
      <w:pPr>
        <w:pStyle w:val="ListBullet"/>
        <w:spacing w:after="40"/>
        <w:ind w:left="317"/>
      </w:pPr>
      <w:r>
        <w:rPr>
          <w:sz w:val="20"/>
        </w:rPr>
        <w:t>Write and optimize complex SQL queries across Azure Databricks and Microsoft Fabric environments to support enterprise-scale reporting and analytics.</w:t>
      </w:r>
    </w:p>
    <w:p>
      <w:pPr>
        <w:pStyle w:val="ListBullet"/>
        <w:spacing w:after="40"/>
        <w:ind w:left="317"/>
      </w:pPr>
      <w:r>
        <w:rPr>
          <w:sz w:val="20"/>
        </w:rPr>
        <w:t>Automate recurring reporting workflows with Power Automate and Python, reducing manual effort and improving data reliability.</w:t>
      </w:r>
    </w:p>
    <w:p>
      <w:pPr>
        <w:pStyle w:val="ListBullet"/>
        <w:spacing w:after="40"/>
        <w:ind w:left="317"/>
      </w:pPr>
      <w:r>
        <w:rPr>
          <w:sz w:val="20"/>
        </w:rPr>
        <w:t>Partner cross-functionally with Client Experience leadership to identify KPIs, analyze trends, and deliver strategic, data-driven recommendations that improved customer service operations.</w:t>
      </w:r>
    </w:p>
    <w:p>
      <w:pPr>
        <w:spacing w:before="200" w:after="80"/>
        <w:pBdr>
          <w:bottom w:val="single" w:sz="10" w:space="2" w:color="0369A1"/>
        </w:pBdr>
      </w:pPr>
      <w:r>
        <w:rPr>
          <w:b/>
          <w:color w:val="0F172A"/>
          <w:sz w:val="22"/>
        </w:rPr>
        <w:t>SELECTED PROJECTS</w:t>
      </w:r>
    </w:p>
    <w:p>
      <w:pPr>
        <w:spacing w:after="20"/>
      </w:pPr>
      <w:r>
        <w:rPr>
          <w:b/>
          <w:color w:val="0F172A"/>
          <w:sz w:val="21"/>
        </w:rPr>
        <w:t xml:space="preserve">CFPB Consumer Complaint Analysis  </w:t>
      </w:r>
      <w:r>
        <w:rPr>
          <w:i/>
          <w:color w:val="0369A1"/>
          <w:sz w:val="18"/>
        </w:rPr>
        <w:t>— Databricks, Power BI</w:t>
      </w:r>
    </w:p>
    <w:p>
      <w:pPr>
        <w:spacing w:after="120"/>
      </w:pPr>
      <w:r>
        <w:rPr>
          <w:sz w:val="20"/>
        </w:rPr>
        <w:t>Automated Databricks-to-Power BI pipeline analyzing 8.3M+ consumer complaint records, with scheduled API-based ingestion, root-cause decomposition analysis, and geospatial mapping of company response times.</w:t>
      </w:r>
    </w:p>
    <w:p>
      <w:pPr>
        <w:spacing w:after="20"/>
      </w:pPr>
      <w:r>
        <w:rPr>
          <w:b/>
          <w:color w:val="0F172A"/>
          <w:sz w:val="21"/>
        </w:rPr>
        <w:t xml:space="preserve">Contact Center SLA Performance Dashboard  </w:t>
      </w:r>
      <w:r>
        <w:rPr>
          <w:i/>
          <w:color w:val="0369A1"/>
          <w:sz w:val="18"/>
        </w:rPr>
        <w:t>— Python, Power BI</w:t>
      </w:r>
    </w:p>
    <w:p>
      <w:pPr>
        <w:spacing w:after="120"/>
      </w:pPr>
      <w:r>
        <w:rPr>
          <w:sz w:val="20"/>
        </w:rPr>
        <w:t>Hand-built Python ELT pipeline and Power BI dashboard processing 52,000+ calls end-to-end with no managed cloud platform. Identified the drivers behind 92% SLA compliance, informing $650K+ in annual workflow savings.</w:t>
      </w:r>
    </w:p>
    <w:p>
      <w:pPr>
        <w:spacing w:after="20"/>
      </w:pPr>
      <w:r>
        <w:rPr>
          <w:b/>
          <w:color w:val="0F172A"/>
          <w:sz w:val="21"/>
        </w:rPr>
        <w:t xml:space="preserve">RarezWarez AI Inventory Pipeline  </w:t>
      </w:r>
      <w:r>
        <w:rPr>
          <w:i/>
          <w:color w:val="0369A1"/>
          <w:sz w:val="18"/>
        </w:rPr>
        <w:t>— GCP, Gemini AI, Databricks</w:t>
      </w:r>
    </w:p>
    <w:p>
      <w:pPr>
        <w:spacing w:after="120"/>
      </w:pPr>
      <w:r>
        <w:rPr>
          <w:sz w:val="20"/>
        </w:rPr>
        <w:t>Serverless GCP pipeline (Cloud Run, Cloud Scheduler, Cloud Storage) using Gemini AI computer vision to auto-generate structured e-commerce listings from raw product photos, feeding a Databricks warehouse and Power BI reporting layer.</w:t>
      </w:r>
    </w:p>
    <w:p>
      <w:pPr>
        <w:spacing w:before="200" w:after="80"/>
        <w:pBdr>
          <w:bottom w:val="single" w:sz="10" w:space="2" w:color="0369A1"/>
        </w:pBdr>
      </w:pPr>
      <w:r>
        <w:rPr>
          <w:b/>
          <w:color w:val="0F172A"/>
          <w:sz w:val="22"/>
        </w:rPr>
        <w:t>CERTIFICATIONS</w:t>
      </w:r>
    </w:p>
    <w:p>
      <w:r>
        <w:rPr>
          <w:sz w:val="21"/>
        </w:rPr>
        <w:t>Google Data Analytics Professional Certificate — 2022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