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Pre-mortem Guide</w:t>
      </w:r>
    </w:p>
    <w:p>
      <w:r>
        <w:rPr>
          <w:i/>
        </w:rPr>
        <w:t xml:space="preserve">How to surface the risks people are quietly worried about, by imagining the work has already failed.</w:t>
      </w:r>
    </w:p>
    <w:p>
      <w:pPr>
        <w:pStyle w:val="Small"/>
      </w:pPr>
      <w:r>
        <w:t xml:space="preserve">Facilitator Run-Sheet · Run a Project · Inspired by Gary Klein's Pre-mortem</w:t>
      </w:r>
    </w:p>
    <w:p>
      <w:pPr>
        <w:pStyle w:val="Quote"/>
      </w:pPr>
      <w:r>
        <w:rPr>
          <w:i/>
        </w:rPr>
        <w:t xml:space="preserve">“It's six months from now and this has failed. What happened?”</w:t>
      </w:r>
    </w:p>
    <w:p>
      <w:r>
        <w:t xml:space="preserve">Asking “what could go wrong?” gets polite, cautious answers. A pre-mortem, developed by psychologist Gary Klein, asks the group to imagine the project </w:t>
      </w:r>
      <w:r>
        <w:rPr>
          <w:b/>
        </w:rPr>
        <w:t xml:space="preserve">has already failed</w:t>
      </w:r>
      <w:r>
        <w:t xml:space="preserve"> and explain why. This </w:t>
      </w:r>
      <w:r>
        <w:rPr>
          <w:b/>
        </w:rPr>
        <w:t xml:space="preserve">prospective hindsight</w:t>
      </w:r>
      <w:r>
        <w:t xml:space="preserve"> makes it safe to voice worries, and it surfaces far more risks. The group then votes on the most likely causes and agrees how to </w:t>
      </w:r>
      <w:r>
        <w:rPr>
          <w:b/>
        </w:rPr>
        <w:t xml:space="preserve">prevent</w:t>
      </w:r>
      <w:r>
        <w:t xml:space="preserve"> them, or at least </w:t>
      </w:r>
      <w:r>
        <w:rPr>
          <w:b/>
        </w:rPr>
        <w:t xml:space="preserve">detect</w:t>
      </w:r>
      <w:r>
        <w:t xml:space="preserve"> them early.</w:t>
      </w:r>
    </w:p>
    <w:tbl>
      <w:tblPr>
        <w:tblStyle w:val="TableGrid"/>
        <w:tblW w:w="0" w:type="auto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Duration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Group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Use when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Output</w:t>
            </w:r>
          </w:p>
        </w:tc>
      </w:tr>
      <w:tr>
        <w:tc>
          <w:tcPr>
            <w:tcW w:w="2250" w:type="dxa"/>
          </w:tcPr>
          <w:p>
            <w:r>
              <w:t xml:space="preserve">45–60 min</w:t>
            </w:r>
          </w:p>
        </w:tc>
        <w:tc>
          <w:tcPr>
            <w:tcW w:w="2250" w:type="dxa"/>
          </w:tcPr>
          <w:p>
            <w:r>
              <w:t xml:space="preserve">Team, PO, sponsor,</w:t>
            </w:r>
            <w:r>
              <w:br/>
            </w:r>
            <w:r>
              <w:t xml:space="preserve">key stakeholders</w:t>
            </w:r>
          </w:p>
        </w:tc>
        <w:tc>
          <w:tcPr>
            <w:tcW w:w="2250" w:type="dxa"/>
          </w:tcPr>
          <w:p>
            <w:r>
              <w:t xml:space="preserve">Before a project, release</w:t>
            </w:r>
            <w:r>
              <w:br/>
            </w:r>
            <w:r>
              <w:t xml:space="preserve">or big decision</w:t>
            </w:r>
          </w:p>
        </w:tc>
        <w:tc>
          <w:tcPr>
            <w:tcW w:w="2250" w:type="dxa"/>
          </w:tcPr>
          <w:p>
            <w:r>
              <w:t xml:space="preserve">Top risks with</w:t>
            </w:r>
            <w:r>
              <w:br/>
            </w:r>
            <w:r>
              <w:t xml:space="preserve">prevention &amp; signals</w:t>
            </w:r>
          </w:p>
        </w:tc>
      </w:tr>
    </w:tbl>
    <w:p/>
    <w:p>
      <w:pPr>
        <w:pStyle w:val="Heading1"/>
      </w:pPr>
      <w:r>
        <w:t xml:space="preserve">Before the session</w:t>
      </w:r>
    </w:p>
    <w:p>
      <w:pPr>
        <w:pStyle w:val="ListBullet"/>
        <w:numPr>
          <w:ilvl w:val="0"/>
          <w:numId w:val="1"/>
        </w:numPr>
      </w:pPr>
      <w:r>
        <w:t xml:space="preserve">Print the board at A3, or load the SVG as a digital background</w:t>
      </w:r>
    </w:p>
    <w:p>
      <w:pPr>
        <w:pStyle w:val="ListBullet"/>
        <w:numPr>
          <w:ilvl w:val="0"/>
          <w:numId w:val="1"/>
        </w:numPr>
      </w:pPr>
      <w:r>
        <w:t xml:space="preserve">Make sure everyone understands the plan being tested: share it beforehand</w:t>
      </w:r>
    </w:p>
    <w:p>
      <w:pPr>
        <w:pStyle w:val="ListBullet"/>
        <w:numPr>
          <w:ilvl w:val="0"/>
          <w:numId w:val="1"/>
        </w:numPr>
      </w:pPr>
      <w:r>
        <w:t xml:space="preserve">Pink stickies, markers and dot stickers (3 per person)</w:t>
      </w:r>
    </w:p>
    <w:p>
      <w:pPr>
        <w:pStyle w:val="ListBullet"/>
        <w:numPr>
          <w:ilvl w:val="0"/>
          <w:numId w:val="1"/>
        </w:numPr>
      </w:pPr>
      <w:r>
        <w:t xml:space="preserve">Invite people with different views, including sceptics</w:t>
      </w:r>
    </w:p>
    <w:p>
      <w:pPr>
        <w:pStyle w:val="ListBullet"/>
        <w:numPr>
          <w:ilvl w:val="0"/>
          <w:numId w:val="1"/>
        </w:numPr>
      </w:pPr>
      <w:r>
        <w:t xml:space="preserve">Bring the RAID Log so top risks can be added straight away</w:t>
      </w:r>
    </w:p>
    <w:p>
      <w:pPr>
        <w:pStyle w:val="Heading1"/>
      </w:pPr>
      <w:r>
        <w:t xml:space="preserve">Agenda &amp; run-sheet</w:t>
      </w:r>
    </w:p>
    <w:tbl>
      <w:tblPr>
        <w:tblStyle w:val="TableGrid"/>
        <w:tblW w:w="0" w:type="auto"/>
      </w:tblPr>
      <w:tblGrid>
        <w:gridCol w:w="1300"/>
        <w:gridCol w:w="2300"/>
        <w:gridCol w:w="5400"/>
      </w:tblGrid>
      <w:tr>
        <w:trPr>
          <w:tblHeader/>
        </w:trPr>
        <w:tc>
          <w:tcPr>
            <w:tcW w:w="1300" w:type="dxa"/>
            <w:shd w:val="clear" w:color="auto" w:fill="EEF2F6"/>
          </w:tcPr>
          <w:p>
            <w:r>
              <w:rPr>
                <w:b/>
              </w:rPr>
              <w:t xml:space="preserve">Time</w:t>
            </w:r>
          </w:p>
        </w:tc>
        <w:tc>
          <w:tcPr>
            <w:tcW w:w="2300" w:type="dxa"/>
            <w:shd w:val="clear" w:color="auto" w:fill="EEF2F6"/>
          </w:tcPr>
          <w:p>
            <w:r>
              <w:rPr>
                <w:b/>
              </w:rPr>
              <w:t xml:space="preserve">Section</w:t>
            </w:r>
          </w:p>
        </w:tc>
        <w:tc>
          <w:tcPr>
            <w:tcW w:w="5400" w:type="dxa"/>
            <w:shd w:val="clear" w:color="auto" w:fill="EEF2F6"/>
          </w:tcPr>
          <w:p>
            <w:r>
              <w:rPr>
                <w:b/>
              </w:rPr>
              <w:t xml:space="preserve">Facilitator notes</w:t>
            </w:r>
          </w:p>
        </w:tc>
      </w:tr>
      <w:tr>
        <w:tc>
          <w:tcPr>
            <w:tcW w:w="1300" w:type="dxa"/>
          </w:tcPr>
          <w:p>
            <w:r>
              <w:t xml:space="preserve">0–5</w:t>
            </w:r>
          </w:p>
        </w:tc>
        <w:tc>
          <w:tcPr>
            <w:tcW w:w="2300" w:type="dxa"/>
          </w:tcPr>
          <w:p>
            <w:r>
              <w:t xml:space="preserve">1 · The Scenario</w:t>
            </w:r>
          </w:p>
        </w:tc>
        <w:tc>
          <w:tcPr>
            <w:tcW w:w="5400" w:type="dxa"/>
          </w:tcPr>
          <w:p>
            <w:r>
              <w:t xml:space="preserve">Fill in a date in the future. Read the scenario aloud: “It's that date and this has failed badly.”</w:t>
            </w:r>
          </w:p>
        </w:tc>
      </w:tr>
      <w:tr>
        <w:tc>
          <w:tcPr>
            <w:tcW w:w="1300" w:type="dxa"/>
          </w:tcPr>
          <w:p>
            <w:r>
              <w:t xml:space="preserve">5–15</w:t>
            </w:r>
          </w:p>
        </w:tc>
        <w:tc>
          <w:tcPr>
            <w:tcW w:w="2300" w:type="dxa"/>
          </w:tcPr>
          <w:p>
            <w:r>
              <w:t xml:space="preserve">2 · Why It Failed (silent)</w:t>
            </w:r>
          </w:p>
        </w:tc>
        <w:tc>
          <w:tcPr>
            <w:tcW w:w="5400" w:type="dxa"/>
          </w:tcPr>
          <w:p>
            <w:r>
              <w:t xml:space="preserve">Everyone writes reasons alone, one per sticky, in the past tense. No discussion yet.</w:t>
            </w:r>
          </w:p>
        </w:tc>
      </w:tr>
      <w:tr>
        <w:tc>
          <w:tcPr>
            <w:tcW w:w="1300" w:type="dxa"/>
          </w:tcPr>
          <w:p>
            <w:r>
              <w:t xml:space="preserve">15–30</w:t>
            </w:r>
          </w:p>
        </w:tc>
        <w:tc>
          <w:tcPr>
            <w:tcW w:w="2300" w:type="dxa"/>
          </w:tcPr>
          <w:p>
            <w:r>
              <w:t xml:space="preserve">Share &amp; cluster</w:t>
            </w:r>
          </w:p>
        </w:tc>
        <w:tc>
          <w:tcPr>
            <w:tcW w:w="5400" w:type="dxa"/>
          </w:tcPr>
          <w:p>
            <w:r>
              <w:t xml:space="preserve">Go round the room, one sticky at a time, until all are up. Cluster similar reasons.</w:t>
            </w:r>
          </w:p>
        </w:tc>
      </w:tr>
      <w:tr>
        <w:tc>
          <w:tcPr>
            <w:tcW w:w="1300" w:type="dxa"/>
          </w:tcPr>
          <w:p>
            <w:r>
              <w:t xml:space="preserve">30–35</w:t>
            </w:r>
          </w:p>
        </w:tc>
        <w:tc>
          <w:tcPr>
            <w:tcW w:w="2300" w:type="dxa"/>
          </w:tcPr>
          <w:p>
            <w:r>
              <w:t xml:space="preserve">Dot vote</w:t>
            </w:r>
          </w:p>
        </w:tc>
        <w:tc>
          <w:tcPr>
            <w:tcW w:w="5400" w:type="dxa"/>
          </w:tcPr>
          <w:p>
            <w:r>
              <w:t xml:space="preserve">Three dots each, on the reasons most likely to actually happen.</w:t>
            </w:r>
          </w:p>
        </w:tc>
      </w:tr>
      <w:tr>
        <w:tc>
          <w:tcPr>
            <w:tcW w:w="1300" w:type="dxa"/>
          </w:tcPr>
          <w:p>
            <w:r>
              <w:t xml:space="preserve">35–40</w:t>
            </w:r>
          </w:p>
        </w:tc>
        <w:tc>
          <w:tcPr>
            <w:tcW w:w="2300" w:type="dxa"/>
          </w:tcPr>
          <w:p>
            <w:r>
              <w:t xml:space="preserve">3 · Top Risks</w:t>
            </w:r>
          </w:p>
        </w:tc>
        <w:tc>
          <w:tcPr>
            <w:tcW w:w="5400" w:type="dxa"/>
          </w:tcPr>
          <w:p>
            <w:r>
              <w:t xml:space="preserve">Write the top 5–8 in the table with votes, likelihood and impact.</w:t>
            </w:r>
          </w:p>
        </w:tc>
      </w:tr>
      <w:tr>
        <w:tc>
          <w:tcPr>
            <w:tcW w:w="1300" w:type="dxa"/>
          </w:tcPr>
          <w:p>
            <w:r>
              <w:t xml:space="preserve">40–55</w:t>
            </w:r>
          </w:p>
        </w:tc>
        <w:tc>
          <w:tcPr>
            <w:tcW w:w="2300" w:type="dxa"/>
          </w:tcPr>
          <w:p>
            <w:r>
              <w:t xml:space="preserve">4 · Prevent or Detect</w:t>
            </w:r>
          </w:p>
        </w:tc>
        <w:tc>
          <w:tcPr>
            <w:tcW w:w="5400" w:type="dxa"/>
          </w:tcPr>
          <w:p>
            <w:r>
              <w:t xml:space="preserve">For each top risk, agree a prevention, an early warning sign and an owner.</w:t>
            </w:r>
          </w:p>
        </w:tc>
      </w:tr>
      <w:tr>
        <w:tc>
          <w:tcPr>
            <w:tcW w:w="1300" w:type="dxa"/>
          </w:tcPr>
          <w:p>
            <w:r>
              <w:t xml:space="preserve">55–60</w:t>
            </w:r>
          </w:p>
        </w:tc>
        <w:tc>
          <w:tcPr>
            <w:tcW w:w="2300" w:type="dxa"/>
          </w:tcPr>
          <w:p>
            <w:r>
              <w:t xml:space="preserve">5 · Next Steps</w:t>
            </w:r>
          </w:p>
        </w:tc>
        <w:tc>
          <w:tcPr>
            <w:tcW w:w="5400" w:type="dxa"/>
          </w:tcPr>
          <w:p>
            <w:r>
              <w:t xml:space="preserve">Tick off the follow-ups and set a review date.</w:t>
            </w:r>
          </w:p>
        </w:tc>
      </w:tr>
    </w:tbl>
    <w:p/>
    <w:p>
      <w:pPr>
        <w:pStyle w:val="Heading1"/>
      </w:pPr>
      <w:r>
        <w:t xml:space="preserve">Making each section strong</w:t>
      </w:r>
    </w:p>
    <w:p>
      <w:r>
        <w:t xml:space="preserve">Quality checks for each part of the board.</w:t>
      </w:r>
    </w:p>
    <w:p>
      <w:pPr>
        <w:pStyle w:val="Heading2"/>
      </w:pPr>
      <w:r>
        <w:t xml:space="preserve">1 · The Scenario</w:t>
      </w:r>
    </w:p>
    <w:p>
      <w:pPr>
        <w:pStyle w:val="ListBullet"/>
        <w:numPr>
          <w:ilvl w:val="0"/>
          <w:numId w:val="1"/>
        </w:numPr>
      </w:pPr>
      <w:r>
        <w:t xml:space="preserve">A specific future date</w:t>
      </w:r>
    </w:p>
    <w:p>
      <w:pPr>
        <w:pStyle w:val="ListBullet"/>
        <w:numPr>
          <w:ilvl w:val="0"/>
          <w:numId w:val="1"/>
        </w:numPr>
      </w:pPr>
      <w:r>
        <w:t xml:space="preserve">Failure is described concretely</w:t>
      </w:r>
    </w:p>
    <w:p>
      <w:pPr>
        <w:pStyle w:val="Heading2"/>
      </w:pPr>
      <w:r>
        <w:t xml:space="preserve">2 · Why It Failed</w:t>
      </w:r>
    </w:p>
    <w:p>
      <w:pPr>
        <w:pStyle w:val="ListBullet"/>
        <w:numPr>
          <w:ilvl w:val="0"/>
          <w:numId w:val="1"/>
        </w:numPr>
      </w:pPr>
      <w:r>
        <w:t xml:space="preserve">Written in the past tense</w:t>
      </w:r>
    </w:p>
    <w:p>
      <w:pPr>
        <w:pStyle w:val="ListBullet"/>
        <w:numPr>
          <w:ilvl w:val="0"/>
          <w:numId w:val="1"/>
        </w:numPr>
      </w:pPr>
      <w:r>
        <w:t xml:space="preserve">Silent writing first</w:t>
      </w:r>
    </w:p>
    <w:p>
      <w:pPr>
        <w:pStyle w:val="ListBullet"/>
        <w:numPr>
          <w:ilvl w:val="0"/>
          <w:numId w:val="1"/>
        </w:numPr>
      </w:pPr>
      <w:r>
        <w:t xml:space="preserve">Wide range of causes</w:t>
      </w:r>
    </w:p>
    <w:p>
      <w:pPr>
        <w:pStyle w:val="Heading2"/>
      </w:pPr>
      <w:r>
        <w:t xml:space="preserve">3 · Top Risks</w:t>
      </w:r>
    </w:p>
    <w:p>
      <w:pPr>
        <w:pStyle w:val="ListBullet"/>
        <w:numPr>
          <w:ilvl w:val="0"/>
          <w:numId w:val="1"/>
        </w:numPr>
      </w:pPr>
      <w:r>
        <w:t xml:space="preserve">Chosen by vote</w:t>
      </w:r>
    </w:p>
    <w:p>
      <w:pPr>
        <w:pStyle w:val="ListBullet"/>
        <w:numPr>
          <w:ilvl w:val="0"/>
          <w:numId w:val="1"/>
        </w:numPr>
      </w:pPr>
      <w:r>
        <w:t xml:space="preserve">Likelihood and impact noted</w:t>
      </w:r>
    </w:p>
    <w:p>
      <w:pPr>
        <w:pStyle w:val="Heading2"/>
      </w:pPr>
      <w:r>
        <w:t xml:space="preserve">4 · Prevent or Detect</w:t>
      </w:r>
    </w:p>
    <w:p>
      <w:pPr>
        <w:pStyle w:val="ListBullet"/>
        <w:numPr>
          <w:ilvl w:val="0"/>
          <w:numId w:val="1"/>
        </w:numPr>
      </w:pPr>
      <w:r>
        <w:t xml:space="preserve">A real prevention or a clear warning sign</w:t>
      </w:r>
    </w:p>
    <w:p>
      <w:pPr>
        <w:pStyle w:val="ListBullet"/>
        <w:numPr>
          <w:ilvl w:val="0"/>
          <w:numId w:val="1"/>
        </w:numPr>
      </w:pPr>
      <w:r>
        <w:t xml:space="preserve">Every risk has an owner</w:t>
      </w:r>
    </w:p>
    <w:p>
      <w:pPr>
        <w:pStyle w:val="Heading2"/>
      </w:pPr>
      <w:r>
        <w:t xml:space="preserve">5 · Next Steps</w:t>
      </w:r>
    </w:p>
    <w:p>
      <w:pPr>
        <w:pStyle w:val="ListBullet"/>
        <w:numPr>
          <w:ilvl w:val="0"/>
          <w:numId w:val="1"/>
        </w:numPr>
      </w:pPr>
      <w:r>
        <w:t xml:space="preserve">Risks reach the RAID Log</w:t>
      </w:r>
    </w:p>
    <w:p>
      <w:pPr>
        <w:pStyle w:val="ListBullet"/>
        <w:numPr>
          <w:ilvl w:val="0"/>
          <w:numId w:val="1"/>
        </w:numPr>
      </w:pPr>
      <w:r>
        <w:t xml:space="preserve">A review date is set</w:t>
      </w:r>
    </w:p>
    <w:p>
      <w:pPr>
        <w:pStyle w:val="Heading1"/>
      </w:pPr>
      <w:r>
        <w:t xml:space="preserve">Facilitation tips</w:t>
      </w:r>
    </w:p>
    <w:p>
      <w:r>
        <w:rPr>
          <w:b/>
        </w:rPr>
        <w:t xml:space="preserve">Past tense matters. </w:t>
      </w:r>
      <w:r>
        <w:t xml:space="preserve">“We lost our key engineer” feels more real than “we might lose someone”, and gets better answers.</w:t>
      </w:r>
    </w:p>
    <w:p>
      <w:r>
        <w:rPr>
          <w:b/>
        </w:rPr>
        <w:t xml:space="preserve">Silent first. </w:t>
      </w:r>
      <w:r>
        <w:t xml:space="preserve">Writing alone stops the most senior or loudest person shaping everyone's thinking.</w:t>
      </w:r>
    </w:p>
    <w:p>
      <w:r>
        <w:rPr>
          <w:b/>
        </w:rPr>
        <w:t xml:space="preserve">Welcome the uncomfortable. </w:t>
      </w:r>
      <w:r>
        <w:t xml:space="preserve">The most valuable reasons are often about decisions, leadership or politics. Thank people for them.</w:t>
      </w:r>
    </w:p>
    <w:p>
      <w:r>
        <w:rPr>
          <w:b/>
        </w:rPr>
        <w:t xml:space="preserve">Not just doom. </w:t>
      </w:r>
      <w:r>
        <w:t xml:space="preserve">Close by focusing on what you'll do. The goal is a better plan, not a gloomy team.</w:t>
      </w:r>
    </w:p>
    <w:p>
      <w:r>
        <w:rPr>
          <w:b/>
        </w:rPr>
        <w:t xml:space="preserve">Prevent or detect. </w:t>
      </w:r>
      <w:r>
        <w:t xml:space="preserve">If a risk can't be prevented, agree the early warning sign that would tell you it's happening.</w:t>
      </w:r>
    </w:p>
    <w:p>
      <w:r>
        <w:rPr>
          <w:b/>
        </w:rPr>
        <w:t xml:space="preserve">Repeat it. </w:t>
      </w:r>
      <w:r>
        <w:t xml:space="preserve">Run a short pre-mortem again before each big milestone.</w:t>
      </w:r>
    </w:p>
    <w:p>
      <w:r>
        <w:rPr>
          <w:b/>
        </w:rPr>
        <w:t xml:space="preserve">Common pitfalls: </w:t>
      </w:r>
      <w:r>
        <w:t xml:space="preserve">discussing reasons before everyone has written; the sponsor dismissing reasons in the room; only listing technical risks; no owners for actions; not feeding risks into the RAID Log or the plan.</w:t>
      </w:r>
    </w:p>
    <w:p>
      <w:pPr>
        <w:pStyle w:val="Heading1"/>
      </w:pPr>
      <w:r>
        <w:t xml:space="preserve">After the session</w:t>
      </w:r>
    </w:p>
    <w:p>
      <w:r>
        <w:rPr>
          <w:b/>
        </w:rPr>
        <w:t xml:space="preserve">Straight away: </w:t>
      </w:r>
      <w:r>
        <w:t xml:space="preserve">Add the top risks to the RAID Log and the prevention actions to the backlog.</w:t>
      </w:r>
    </w:p>
    <w:p>
      <w:r>
        <w:rPr>
          <w:b/>
        </w:rPr>
        <w:t xml:space="preserve">This week: </w:t>
      </w:r>
      <w:r>
        <w:t xml:space="preserve">Put the early warning signs where the team will notice them.</w:t>
      </w:r>
    </w:p>
    <w:p>
      <w:r>
        <w:rPr>
          <w:b/>
        </w:rPr>
        <w:t xml:space="preserve">Each iteration: </w:t>
      </w:r>
      <w:r>
        <w:t xml:space="preserve">Check the warning signs at the review or retro.</w:t>
      </w:r>
    </w:p>
    <w:p>
      <w:r>
        <w:rPr>
          <w:b/>
        </w:rPr>
        <w:t xml:space="preserve">Before milestones: </w:t>
      </w:r>
      <w:r>
        <w:t xml:space="preserve">Run a quick pre-mortem again on the next phase.</w:t>
      </w:r>
    </w:p>
    <w:p>
      <w:pPr>
        <w:pStyle w:val="Heading1"/>
      </w:pPr>
      <w:r>
        <w:t xml:space="preserve">How it fits the toolkit</w:t>
      </w:r>
    </w:p>
    <w:p>
      <w:r>
        <w:t xml:space="preserve">The project tools work together: run a </w:t>
      </w:r>
      <w:r>
        <w:t xml:space="preserve">Project Kickoff</w:t>
      </w:r>
      <w:r>
        <w:t xml:space="preserve"> first, then build the </w:t>
      </w:r>
      <w:r>
        <w:t xml:space="preserve">Stakeholder Map</w:t>
      </w:r>
      <w:r>
        <w:t xml:space="preserve">, keep the </w:t>
      </w:r>
      <w:r>
        <w:t xml:space="preserve">RAID Log</w:t>
      </w:r>
      <w:r>
        <w:t xml:space="preserve"> up to date, and refresh the </w:t>
      </w:r>
      <w:r>
        <w:t xml:space="preserve">Release Forecast</w:t>
      </w:r>
      <w:r>
        <w:t xml:space="preserve"> after every iteration. Inside the project, teams use the lifecycle tools (Team Charter, Prioritisation, Sprint Planning and Review) and the break-down tools.</w:t>
      </w:r>
    </w:p>
    <w:p>
      <w:pPr>
        <w:pStyle w:val="Small"/>
      </w:pPr>
      <w:r>
        <w:t xml:space="preserve">Boards: https://eparker71.github.io/agile-ways-of-working/pre-mortem-board.html  ·  Online guide: https://eparker71.github.io/agile-ways-of-working/facilitator-guide-pre-mortem.html</w:t>
      </w:r>
    </w:p>
    <w:p>
      <w:pPr>
        <w:pStyle w:val="Small"/>
      </w:pPr>
      <w:r>
        <w:t xml:space="preserve">© 2026 Eric Parker · CC BY 4.0 · eparker71.github.io/agile-ways-of-working · Adapt it freely; please keep the credit and say what you changed.</w:t>
      </w:r>
    </w:p>
    <w:sectPr>
      <w:pgSz w:w="11906" w:h="16838"/>
      <w:pgMar w:top="1134" w:right="1134" w:bottom="1134" w:left="1134" w:header="567" w:footer="567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color w:val="1E293B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60"/>
    </w:pPr>
    <w:rPr>
      <w:rFonts w:ascii="Georgia" w:hAnsi="Georgia"/>
      <w:sz w:val="48"/>
      <w:color w:val="0C1A2E"/>
    </w:rPr>
  </w:style>
  <w:style w:type="paragraph" w:styleId="Heading1">
    <w:name w:val="heading 1"/>
    <w:basedOn w:val="Normal"/>
    <w:next w:val="Normal"/>
    <w:pPr>
      <w:keepNext/>
      <w:spacing w:before="320" w:after="100"/>
      <w:outlineLvl w:val="0"/>
    </w:pPr>
    <w:rPr>
      <w:rFonts w:ascii="Georgia" w:hAnsi="Georgia"/>
      <w:sz w:val="32"/>
      <w:color w:val="0C1A2E"/>
    </w:rPr>
  </w:style>
  <w:style w:type="paragraph" w:styleId="Heading2">
    <w:name w:val="heading 2"/>
    <w:basedOn w:val="Normal"/>
    <w:next w:val="Normal"/>
    <w:pPr>
      <w:keepNext/>
      <w:spacing w:before="200" w:after="60"/>
      <w:outlineLvl w:val="1"/>
    </w:pPr>
    <w:rPr>
      <w:b/>
      <w:sz w:val="23"/>
      <w:color w:val="9A3412"/>
    </w:rPr>
  </w:style>
  <w:style w:type="paragraph" w:styleId="Quote">
    <w:name w:val="Quote"/>
    <w:basedOn w:val="Normal"/>
    <w:pPr>
      <w:ind w:left="284"/>
      <w:pBdr>
        <w:left w:val="single" w:sz="18" w:space="8" w:color="EB6C36"/>
      </w:pBdr>
    </w:pPr>
    <w:rPr>
      <w:rFonts w:ascii="Georgia" w:hAnsi="Georgia"/>
      <w:i/>
      <w:sz w:val="26"/>
    </w:rPr>
  </w:style>
  <w:style w:type="paragraph" w:styleId="ListBullet">
    <w:name w:val="List Bullet"/>
    <w:basedOn w:val="Normal"/>
    <w:pPr>
      <w:spacing w:after="40"/>
    </w:pPr>
  </w:style>
  <w:style w:type="paragraph" w:styleId="Small">
    <w:name w:val="Small"/>
    <w:basedOn w:val="Normal"/>
    <w:rPr>
      <w:sz w:val="17"/>
      <w:color w:val="64748B"/>
    </w:rPr>
  </w:style>
  <w:style w:type="table" w:styleId="TableGrid">
    <w:name w:val="Table Grid"/>
    <w:tblPr>
      <w:tblBorders>
        <w:top w:val="single" w:sz="4" w:space="0" w:color="CBD5E1"/>
        <w:left w:val="single" w:sz="4" w:space="0" w:color="CBD5E1"/>
        <w:bottom w:val="single" w:sz="4" w:space="0" w:color="CBD5E1"/>
        <w:right w:val="single" w:sz="4" w:space="0" w:color="CBD5E1"/>
        <w:insideH w:val="single" w:sz="4" w:space="0" w:color="CBD5E1"/>
        <w:insideV w:val="single" w:sz="4" w:space="0" w:color="CBD5E1"/>
      </w:tblBorders>
      <w:tblCellMar>
        <w:top w:w="60" w:type="dxa"/>
        <w:left w:w="100" w:type="dxa"/>
        <w:bottom w:w="6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Pre-mortem Guide</dc:title>
  <dc:creator>Eric Parker</dc:creator>
</cp:coreProperties>
</file>