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 xml:space="preserve">Portfolio Kanban &amp; Investment Mix Guide</w:t>
      </w:r>
    </w:p>
    <w:p>
      <w:r>
        <w:rPr>
          <w:i/>
        </w:rPr>
        <w:t xml:space="preserve">How to limit how many big initiatives run at once, decide with a lean business case, and balance investment.</w:t>
      </w:r>
    </w:p>
    <w:p>
      <w:pPr>
        <w:pStyle w:val="Small"/>
      </w:pPr>
      <w:r>
        <w:t xml:space="preserve">Facilitator Run-Sheet · Lead the Organisation · Lean Portfolio Management</w:t>
      </w:r>
    </w:p>
    <w:p>
      <w:pPr>
        <w:pStyle w:val="Quote"/>
      </w:pPr>
      <w:r>
        <w:rPr>
          <w:i/>
        </w:rPr>
        <w:t xml:space="preserve">“What would we stop to make room for this?”</w:t>
      </w:r>
    </w:p>
    <w:p>
      <w:r>
        <w:t xml:space="preserve">Most organisations start far more initiatives than they can finish, so everything moves slowly. A </w:t>
      </w:r>
      <w:r>
        <w:rPr>
          <w:b/>
        </w:rPr>
        <w:t xml:space="preserve">portfolio Kanban</w:t>
      </w:r>
      <w:r>
        <w:t xml:space="preserve"> applies the same flow ideas as a team board to big initiatives: every idea enters a funnel, moves forward only when there's capacity, and each column has a </w:t>
      </w:r>
      <w:r>
        <w:rPr>
          <w:b/>
        </w:rPr>
        <w:t xml:space="preserve">WIP limit</w:t>
      </w:r>
      <w:r>
        <w:t xml:space="preserve"> and exit criteria. A </w:t>
      </w:r>
      <w:r>
        <w:rPr>
          <w:b/>
        </w:rPr>
        <w:t xml:space="preserve">lean business case</w:t>
      </w:r>
      <w:r>
        <w:t xml:space="preserve"> replaces long proposals with a testable hypothesis and an MVP, and the </w:t>
      </w:r>
      <w:r>
        <w:rPr>
          <w:b/>
        </w:rPr>
        <w:t xml:space="preserve">investment mix</w:t>
      </w:r>
      <w:r>
        <w:t xml:space="preserve"> keeps new bets, growth, maintenance and tech debt in a deliberate balance. These ideas come from lean portfolio management and the Kanban Method.</w:t>
      </w:r>
    </w:p>
    <w:tbl>
      <w:tblPr>
        <w:tblStyle w:val="TableGrid"/>
        <w:tblW w:w="0" w:type="auto"/>
      </w:tblPr>
      <w:tblGrid>
        <w:gridCol w:w="2250"/>
        <w:gridCol w:w="2250"/>
        <w:gridCol w:w="2250"/>
        <w:gridCol w:w="2250"/>
      </w:tblGrid>
      <w:tr>
        <w:trPr>
          <w:tblHeader/>
        </w:trPr>
        <w:tc>
          <w:tcPr>
            <w:tcW w:w="2250" w:type="dxa"/>
            <w:shd w:val="clear" w:color="auto" w:fill="EEF2F6"/>
          </w:tcPr>
          <w:p>
            <w:r>
              <w:rPr>
                <w:b/>
              </w:rPr>
              <w:t xml:space="preserve">Duration</w:t>
            </w:r>
          </w:p>
        </w:tc>
        <w:tc>
          <w:tcPr>
            <w:tcW w:w="2250" w:type="dxa"/>
            <w:shd w:val="clear" w:color="auto" w:fill="EEF2F6"/>
          </w:tcPr>
          <w:p>
            <w:r>
              <w:rPr>
                <w:b/>
              </w:rPr>
              <w:t xml:space="preserve">Group</w:t>
            </w:r>
          </w:p>
        </w:tc>
        <w:tc>
          <w:tcPr>
            <w:tcW w:w="2250" w:type="dxa"/>
            <w:shd w:val="clear" w:color="auto" w:fill="EEF2F6"/>
          </w:tcPr>
          <w:p>
            <w:r>
              <w:rPr>
                <w:b/>
              </w:rPr>
              <w:t xml:space="preserve">Use when</w:t>
            </w:r>
          </w:p>
        </w:tc>
        <w:tc>
          <w:tcPr>
            <w:tcW w:w="2250" w:type="dxa"/>
            <w:shd w:val="clear" w:color="auto" w:fill="EEF2F6"/>
          </w:tcPr>
          <w:p>
            <w:r>
              <w:rPr>
                <w:b/>
              </w:rPr>
              <w:t xml:space="preserve">Output</w:t>
            </w:r>
          </w:p>
        </w:tc>
      </w:tr>
      <w:tr>
        <w:tc>
          <w:tcPr>
            <w:tcW w:w="2250" w:type="dxa"/>
          </w:tcPr>
          <w:p>
            <w:r>
              <w:t xml:space="preserve">2 h to set up</w:t>
            </w:r>
            <w:r>
              <w:br/>
            </w:r>
            <w:r>
              <w:t xml:space="preserve">60 min each review</w:t>
            </w:r>
          </w:p>
        </w:tc>
        <w:tc>
          <w:tcPr>
            <w:tcW w:w="2250" w:type="dxa"/>
          </w:tcPr>
          <w:p>
            <w:r>
              <w:t xml:space="preserve">Portfolio leaders,</w:t>
            </w:r>
            <w:r>
              <w:br/>
            </w:r>
            <w:r>
              <w:t xml:space="preserve">product heads, finance</w:t>
            </w:r>
          </w:p>
        </w:tc>
        <w:tc>
          <w:tcPr>
            <w:tcW w:w="2250" w:type="dxa"/>
          </w:tcPr>
          <w:p>
            <w:r>
              <w:t xml:space="preserve">Too much in flight,</w:t>
            </w:r>
            <w:r>
              <w:br/>
            </w:r>
            <w:r>
              <w:t xml:space="preserve">or funding is annual</w:t>
            </w:r>
          </w:p>
        </w:tc>
        <w:tc>
          <w:tcPr>
            <w:tcW w:w="2250" w:type="dxa"/>
          </w:tcPr>
          <w:p>
            <w:r>
              <w:t xml:space="preserve">A limited, visible</w:t>
            </w:r>
            <w:r>
              <w:br/>
            </w:r>
            <w:r>
              <w:t xml:space="preserve">portfolio &amp; a mix</w:t>
            </w:r>
          </w:p>
        </w:tc>
      </w:tr>
    </w:tbl>
    <w:p/>
    <w:p>
      <w:pPr>
        <w:pStyle w:val="Heading1"/>
      </w:pPr>
      <w:r>
        <w:t xml:space="preserve">Before the session</w:t>
      </w:r>
    </w:p>
    <w:p>
      <w:pPr>
        <w:pStyle w:val="ListBullet"/>
        <w:numPr>
          <w:ilvl w:val="0"/>
          <w:numId w:val="1"/>
        </w:numPr>
      </w:pPr>
      <w:r>
        <w:t xml:space="preserve">Print the board at A1 or A3, or load the SVG as a digital background</w:t>
      </w:r>
    </w:p>
    <w:p>
      <w:pPr>
        <w:pStyle w:val="ListBullet"/>
        <w:numPr>
          <w:ilvl w:val="0"/>
          <w:numId w:val="1"/>
        </w:numPr>
      </w:pPr>
      <w:r>
        <w:t xml:space="preserve">List every current initiative and every proposal waiting for approval</w:t>
      </w:r>
    </w:p>
    <w:p>
      <w:pPr>
        <w:pStyle w:val="ListBullet"/>
        <w:numPr>
          <w:ilvl w:val="0"/>
          <w:numId w:val="1"/>
        </w:numPr>
      </w:pPr>
      <w:r>
        <w:t xml:space="preserve">Gather what's known about each: stage, cost so far, expected outcome</w:t>
      </w:r>
    </w:p>
    <w:p>
      <w:pPr>
        <w:pStyle w:val="ListBullet"/>
        <w:numPr>
          <w:ilvl w:val="0"/>
          <w:numId w:val="1"/>
        </w:numPr>
      </w:pPr>
      <w:r>
        <w:t xml:space="preserve">Bring the strategy, OKRs and any Value Metrics</w:t>
      </w:r>
    </w:p>
    <w:p>
      <w:pPr>
        <w:pStyle w:val="ListBullet"/>
        <w:numPr>
          <w:ilvl w:val="0"/>
          <w:numId w:val="1"/>
        </w:numPr>
      </w:pPr>
      <w:r>
        <w:t xml:space="preserve">Invite the people who can stop as well as start initiatives</w:t>
      </w:r>
    </w:p>
    <w:p>
      <w:pPr>
        <w:pStyle w:val="Heading1"/>
      </w:pPr>
      <w:r>
        <w:t xml:space="preserve">Agenda &amp; run-sheet</w:t>
      </w:r>
    </w:p>
    <w:tbl>
      <w:tblPr>
        <w:tblStyle w:val="TableGrid"/>
        <w:tblW w:w="0" w:type="auto"/>
      </w:tblPr>
      <w:tblGrid>
        <w:gridCol w:w="1300"/>
        <w:gridCol w:w="2300"/>
        <w:gridCol w:w="5400"/>
      </w:tblGrid>
      <w:tr>
        <w:trPr>
          <w:tblHeader/>
        </w:trPr>
        <w:tc>
          <w:tcPr>
            <w:tcW w:w="1300" w:type="dxa"/>
            <w:shd w:val="clear" w:color="auto" w:fill="EEF2F6"/>
          </w:tcPr>
          <w:p>
            <w:r>
              <w:rPr>
                <w:b/>
              </w:rPr>
              <w:t xml:space="preserve">Time</w:t>
            </w:r>
          </w:p>
        </w:tc>
        <w:tc>
          <w:tcPr>
            <w:tcW w:w="2300" w:type="dxa"/>
            <w:shd w:val="clear" w:color="auto" w:fill="EEF2F6"/>
          </w:tcPr>
          <w:p>
            <w:r>
              <w:rPr>
                <w:b/>
              </w:rPr>
              <w:t xml:space="preserve">Section</w:t>
            </w:r>
          </w:p>
        </w:tc>
        <w:tc>
          <w:tcPr>
            <w:tcW w:w="5400" w:type="dxa"/>
            <w:shd w:val="clear" w:color="auto" w:fill="EEF2F6"/>
          </w:tcPr>
          <w:p>
            <w:r>
              <w:rPr>
                <w:b/>
              </w:rPr>
              <w:t xml:space="preserve">Facilitator notes</w:t>
            </w:r>
          </w:p>
        </w:tc>
      </w:tr>
      <w:tr>
        <w:tc>
          <w:tcPr>
            <w:tcW w:w="1300" w:type="dxa"/>
          </w:tcPr>
          <w:p>
            <w:r>
              <w:t xml:space="preserve">0–25</w:t>
            </w:r>
          </w:p>
        </w:tc>
        <w:tc>
          <w:tcPr>
            <w:tcW w:w="2300" w:type="dxa"/>
          </w:tcPr>
          <w:p>
            <w:r>
              <w:t xml:space="preserve">1 · Place initiatives</w:t>
            </w:r>
          </w:p>
        </w:tc>
        <w:tc>
          <w:tcPr>
            <w:tcW w:w="5400" w:type="dxa"/>
          </w:tcPr>
          <w:p>
            <w:r>
              <w:t xml:space="preserve">Put each initiative in the column that reflects reality, not plans. Count how many are in Implementing.</w:t>
            </w:r>
          </w:p>
        </w:tc>
      </w:tr>
      <w:tr>
        <w:tc>
          <w:tcPr>
            <w:tcW w:w="1300" w:type="dxa"/>
          </w:tcPr>
          <w:p>
            <w:r>
              <w:t xml:space="preserve">25–45</w:t>
            </w:r>
          </w:p>
        </w:tc>
        <w:tc>
          <w:tcPr>
            <w:tcW w:w="2300" w:type="dxa"/>
          </w:tcPr>
          <w:p>
            <w:r>
              <w:t xml:space="preserve">WIP limits &amp; exits</w:t>
            </w:r>
          </w:p>
        </w:tc>
        <w:tc>
          <w:tcPr>
            <w:tcW w:w="5400" w:type="dxa"/>
          </w:tcPr>
          <w:p>
            <w:r>
              <w:t xml:space="preserve">Agree a WIP limit and exit criteria for each column. Most portfolios need to stop or pause some work to meet them.</w:t>
            </w:r>
          </w:p>
        </w:tc>
      </w:tr>
      <w:tr>
        <w:tc>
          <w:tcPr>
            <w:tcW w:w="1300" w:type="dxa"/>
          </w:tcPr>
          <w:p>
            <w:r>
              <w:t xml:space="preserve">45–70</w:t>
            </w:r>
          </w:p>
        </w:tc>
        <w:tc>
          <w:tcPr>
            <w:tcW w:w="2300" w:type="dxa"/>
          </w:tcPr>
          <w:p>
            <w:r>
              <w:t xml:space="preserve">2 · Lean Business Case</w:t>
            </w:r>
          </w:p>
        </w:tc>
        <w:tc>
          <w:tcPr>
            <w:tcW w:w="5400" w:type="dxa"/>
          </w:tcPr>
          <w:p>
            <w:r>
              <w:t xml:space="preserve">For one initiative in Analysing, complete the case: hypothesis, MVP, cost range, cost of delay and go/no-go.</w:t>
            </w:r>
          </w:p>
        </w:tc>
      </w:tr>
      <w:tr>
        <w:tc>
          <w:tcPr>
            <w:tcW w:w="1300" w:type="dxa"/>
          </w:tcPr>
          <w:p>
            <w:r>
              <w:t xml:space="preserve">70–90</w:t>
            </w:r>
          </w:p>
        </w:tc>
        <w:tc>
          <w:tcPr>
            <w:tcW w:w="2300" w:type="dxa"/>
          </w:tcPr>
          <w:p>
            <w:r>
              <w:t xml:space="preserve">3 · Investment Mix</w:t>
            </w:r>
          </w:p>
        </w:tc>
        <w:tc>
          <w:tcPr>
            <w:tcW w:w="5400" w:type="dxa"/>
          </w:tcPr>
          <w:p>
            <w:r>
              <w:t xml:space="preserve">Agree the target split by type of work, then estimate the actual split today.</w:t>
            </w:r>
          </w:p>
        </w:tc>
      </w:tr>
      <w:tr>
        <w:tc>
          <w:tcPr>
            <w:tcW w:w="1300" w:type="dxa"/>
          </w:tcPr>
          <w:p>
            <w:r>
              <w:t xml:space="preserve">90–110</w:t>
            </w:r>
          </w:p>
        </w:tc>
        <w:tc>
          <w:tcPr>
            <w:tcW w:w="2300" w:type="dxa"/>
          </w:tcPr>
          <w:p>
            <w:r>
              <w:t xml:space="preserve">Decide</w:t>
            </w:r>
          </w:p>
        </w:tc>
        <w:tc>
          <w:tcPr>
            <w:tcW w:w="5400" w:type="dxa"/>
          </w:tcPr>
          <w:p>
            <w:r>
              <w:t xml:space="preserve">Use the gaps to decide what to stop, pause or pull forward. Stop something to start something.</w:t>
            </w:r>
          </w:p>
        </w:tc>
      </w:tr>
      <w:tr>
        <w:tc>
          <w:tcPr>
            <w:tcW w:w="1300" w:type="dxa"/>
          </w:tcPr>
          <w:p>
            <w:r>
              <w:t xml:space="preserve">110–120</w:t>
            </w:r>
          </w:p>
        </w:tc>
        <w:tc>
          <w:tcPr>
            <w:tcW w:w="2300" w:type="dxa"/>
          </w:tcPr>
          <w:p>
            <w:r>
              <w:t xml:space="preserve">4 · Review</w:t>
            </w:r>
          </w:p>
        </w:tc>
        <w:tc>
          <w:tcPr>
            <w:tcW w:w="5400" w:type="dxa"/>
          </w:tcPr>
          <w:p>
            <w:r>
              <w:t xml:space="preserve">Agree the review cadence and decision forum.</w:t>
            </w:r>
          </w:p>
        </w:tc>
      </w:tr>
    </w:tbl>
    <w:p/>
    <w:p>
      <w:pPr>
        <w:pStyle w:val="Heading1"/>
      </w:pPr>
      <w:r>
        <w:t xml:space="preserve">Making each part work</w:t>
      </w:r>
    </w:p>
    <w:p>
      <w:r>
        <w:t xml:space="preserve">Quality checks for the board.</w:t>
      </w:r>
    </w:p>
    <w:p>
      <w:pPr>
        <w:pStyle w:val="Heading2"/>
      </w:pPr>
      <w:r>
        <w:t xml:space="preserve">1 · Portfolio Kanban</w:t>
      </w:r>
    </w:p>
    <w:p>
      <w:pPr>
        <w:pStyle w:val="ListBullet"/>
        <w:numPr>
          <w:ilvl w:val="0"/>
          <w:numId w:val="1"/>
        </w:numPr>
      </w:pPr>
      <w:r>
        <w:t xml:space="preserve">Reality, not the plan</w:t>
      </w:r>
    </w:p>
    <w:p>
      <w:pPr>
        <w:pStyle w:val="ListBullet"/>
        <w:numPr>
          <w:ilvl w:val="0"/>
          <w:numId w:val="1"/>
        </w:numPr>
      </w:pPr>
      <w:r>
        <w:t xml:space="preserve">WIP limits are respected</w:t>
      </w:r>
    </w:p>
    <w:p>
      <w:pPr>
        <w:pStyle w:val="ListBullet"/>
        <w:numPr>
          <w:ilvl w:val="0"/>
          <w:numId w:val="1"/>
        </w:numPr>
      </w:pPr>
      <w:r>
        <w:t xml:space="preserve">Exit criteria are clear</w:t>
      </w:r>
    </w:p>
    <w:p>
      <w:pPr>
        <w:pStyle w:val="Heading2"/>
      </w:pPr>
      <w:r>
        <w:t xml:space="preserve">2 · Lean Business Case</w:t>
      </w:r>
    </w:p>
    <w:p>
      <w:pPr>
        <w:pStyle w:val="ListBullet"/>
        <w:numPr>
          <w:ilvl w:val="0"/>
          <w:numId w:val="1"/>
        </w:numPr>
      </w:pPr>
      <w:r>
        <w:t xml:space="preserve">A testable hypothesis</w:t>
      </w:r>
    </w:p>
    <w:p>
      <w:pPr>
        <w:pStyle w:val="ListBullet"/>
        <w:numPr>
          <w:ilvl w:val="0"/>
          <w:numId w:val="1"/>
        </w:numPr>
      </w:pPr>
      <w:r>
        <w:t xml:space="preserve">An MVP, not the full scope</w:t>
      </w:r>
    </w:p>
    <w:p>
      <w:pPr>
        <w:pStyle w:val="ListBullet"/>
        <w:numPr>
          <w:ilvl w:val="0"/>
          <w:numId w:val="1"/>
        </w:numPr>
      </w:pPr>
      <w:r>
        <w:t xml:space="preserve">Go/no-go agreed up front</w:t>
      </w:r>
    </w:p>
    <w:p>
      <w:pPr>
        <w:pStyle w:val="Heading2"/>
      </w:pPr>
      <w:r>
        <w:t xml:space="preserve">3 · Investment Mix</w:t>
      </w:r>
    </w:p>
    <w:p>
      <w:pPr>
        <w:pStyle w:val="ListBullet"/>
        <w:numPr>
          <w:ilvl w:val="0"/>
          <w:numId w:val="1"/>
        </w:numPr>
      </w:pPr>
      <w:r>
        <w:t xml:space="preserve">Target agreed by leaders</w:t>
      </w:r>
    </w:p>
    <w:p>
      <w:pPr>
        <w:pStyle w:val="ListBullet"/>
        <w:numPr>
          <w:ilvl w:val="0"/>
          <w:numId w:val="1"/>
        </w:numPr>
      </w:pPr>
      <w:r>
        <w:t xml:space="preserve">Actual compared regularly</w:t>
      </w:r>
    </w:p>
    <w:p>
      <w:pPr>
        <w:pStyle w:val="Heading2"/>
      </w:pPr>
      <w:r>
        <w:t xml:space="preserve">4 · Portfolio Review</w:t>
      </w:r>
    </w:p>
    <w:p>
      <w:pPr>
        <w:pStyle w:val="ListBullet"/>
        <w:numPr>
          <w:ilvl w:val="0"/>
          <w:numId w:val="1"/>
        </w:numPr>
      </w:pPr>
      <w:r>
        <w:t xml:space="preserve">A regular cadence</w:t>
      </w:r>
    </w:p>
    <w:p>
      <w:pPr>
        <w:pStyle w:val="ListBullet"/>
        <w:numPr>
          <w:ilvl w:val="0"/>
          <w:numId w:val="1"/>
        </w:numPr>
      </w:pPr>
      <w:r>
        <w:t xml:space="preserve">Outcomes checked, not just spend</w:t>
      </w:r>
    </w:p>
    <w:p>
      <w:pPr>
        <w:pStyle w:val="Heading1"/>
      </w:pPr>
      <w:r>
        <w:t xml:space="preserve">Facilitation tips</w:t>
      </w:r>
    </w:p>
    <w:p>
      <w:r>
        <w:rPr>
          <w:b/>
        </w:rPr>
        <w:t xml:space="preserve">Count what's in flight. </w:t>
      </w:r>
      <w:r>
        <w:t xml:space="preserve">Seeing everything in one place is often enough to start the conversation about stopping.</w:t>
      </w:r>
    </w:p>
    <w:p>
      <w:r>
        <w:rPr>
          <w:b/>
        </w:rPr>
        <w:t xml:space="preserve">Stop to start. </w:t>
      </w:r>
      <w:r>
        <w:t xml:space="preserve">Make it a rule: a new initiative enters Implementing only when another leaves.</w:t>
      </w:r>
    </w:p>
    <w:p>
      <w:r>
        <w:rPr>
          <w:b/>
        </w:rPr>
        <w:t xml:space="preserve">Fund the MVP first. </w:t>
      </w:r>
      <w:r>
        <w:t xml:space="preserve">Approve the smallest test of the hypothesis, then decide again with evidence.</w:t>
      </w:r>
    </w:p>
    <w:p>
      <w:r>
        <w:rPr>
          <w:b/>
        </w:rPr>
        <w:t xml:space="preserve">Show cost of delay. </w:t>
      </w:r>
      <w:r>
        <w:t xml:space="preserve">Ranking by cost of delay, not by who shouts loudest, makes trade-offs visible.</w:t>
      </w:r>
    </w:p>
    <w:p>
      <w:r>
        <w:rPr>
          <w:b/>
        </w:rPr>
        <w:t xml:space="preserve">Protect the mix. </w:t>
      </w:r>
      <w:r>
        <w:t xml:space="preserve">Without a target, run-and-maintain and urgent work slowly squeeze out new bets and debt.</w:t>
      </w:r>
    </w:p>
    <w:p>
      <w:r>
        <w:rPr>
          <w:b/>
        </w:rPr>
        <w:t xml:space="preserve">Review often. </w:t>
      </w:r>
      <w:r>
        <w:t xml:space="preserve">Quarterly or monthly reviews beat annual funding cycles for adapting to what you learn.</w:t>
      </w:r>
    </w:p>
    <w:p>
      <w:r>
        <w:rPr>
          <w:b/>
        </w:rPr>
        <w:t xml:space="preserve">Common pitfalls: </w:t>
      </w:r>
      <w:r>
        <w:t xml:space="preserve">no WIP limits, so everything stays in flight; business cases that are full project plans; approving everything; never stopping an initiative; tracking spend but not outcomes; an investment mix nobody checks.</w:t>
      </w:r>
    </w:p>
    <w:p>
      <w:pPr>
        <w:pStyle w:val="Heading1"/>
      </w:pPr>
      <w:r>
        <w:t xml:space="preserve">After the session</w:t>
      </w:r>
    </w:p>
    <w:p>
      <w:r>
        <w:rPr>
          <w:b/>
        </w:rPr>
        <w:t xml:space="preserve">Straight away: </w:t>
      </w:r>
      <w:r>
        <w:t xml:space="preserve">Communicate what's paused or stopped, and why.</w:t>
      </w:r>
    </w:p>
    <w:p>
      <w:r>
        <w:rPr>
          <w:b/>
        </w:rPr>
        <w:t xml:space="preserve">Each review: </w:t>
      </w:r>
      <w:r>
        <w:t xml:space="preserve">Update the board, check WIP limits and the mix, and decide what moves.</w:t>
      </w:r>
    </w:p>
    <w:p>
      <w:r>
        <w:rPr>
          <w:b/>
        </w:rPr>
        <w:t xml:space="preserve">Per initiative: </w:t>
      </w:r>
      <w:r>
        <w:t xml:space="preserve">When an MVP finishes, decide persevere, pivot or stop from its evidence.</w:t>
      </w:r>
    </w:p>
    <w:p>
      <w:r>
        <w:rPr>
          <w:b/>
        </w:rPr>
        <w:t xml:space="preserve">Quarterly: </w:t>
      </w:r>
      <w:r>
        <w:t xml:space="preserve">Compare outcomes with Value Metrics and adjust the target mix.</w:t>
      </w:r>
    </w:p>
    <w:p>
      <w:pPr>
        <w:pStyle w:val="Heading1"/>
      </w:pPr>
      <w:r>
        <w:t xml:space="preserve">How it fits the toolkit</w:t>
      </w:r>
    </w:p>
    <w:p>
      <w:r>
        <w:t xml:space="preserve">The leadership tools work together: </w:t>
      </w:r>
      <w:r>
        <w:t xml:space="preserve">Value Metrics</w:t>
      </w:r>
      <w:r>
        <w:t xml:space="preserve"> show whether investment is paying off, the </w:t>
      </w:r>
      <w:r>
        <w:t xml:space="preserve">Portfolio Kanban</w:t>
      </w:r>
      <w:r>
        <w:t xml:space="preserve"> decides what to fund and limits how much runs at once, the </w:t>
      </w:r>
      <w:r>
        <w:t xml:space="preserve">Delegation Board</w:t>
      </w:r>
      <w:r>
        <w:t xml:space="preserve"> makes decision rights explicit, and </w:t>
      </w:r>
      <w:r>
        <w:t xml:space="preserve">ADKAR Change Readiness</w:t>
      </w:r>
      <w:r>
        <w:t xml:space="preserve"> helps people through the change. </w:t>
      </w:r>
      <w:r>
        <w:t xml:space="preserve">OKRs</w:t>
      </w:r>
      <w:r>
        <w:t xml:space="preserve"> and </w:t>
      </w:r>
      <w:r>
        <w:t xml:space="preserve">Team Topology Design</w:t>
      </w:r>
      <w:r>
        <w:t xml:space="preserve"> connect them to the teams.</w:t>
      </w:r>
    </w:p>
    <w:p>
      <w:pPr>
        <w:pStyle w:val="Heading1"/>
      </w:pPr>
      <w:r>
        <w:t xml:space="preserve">Recreate it in your whiteboard</w:t>
      </w:r>
    </w:p>
    <w:p>
      <w:pPr>
        <w:pStyle w:val="Small"/>
      </w:pPr>
      <w:r>
        <w:t xml:space="preserve">Paste this into your whiteboard's AI assistant (for example Miro AI or Atlassian Rovo) or a general assistant, to get an editable, native version of the board. Results vary by tool, so expect to tidy it up. For an exact copy, import the SVG as a locked background instead.</w:t>
      </w:r>
    </w:p>
    <w:p>
      <w:r>
        <w:t xml:space="preserve">Create an editable whiteboard for “Portfolio Kanban &amp; Investment Mix”, a workshop board.</w:t>
      </w:r>
    </w:p>
    <w:p>
      <w:r>
        <w:t xml:space="preserve">Purpose: Limit how many big initiatives run at once, decide with a lean business case, and keep investment balanced.</w:t>
      </w:r>
    </w:p>
    <w:p>
      <w:r>
        <w:t xml:space="preserve">Layout: a wide landscape board (about 16:11). Make one frame per section below, placed as described. In each frame, add the section name as a heading, then its content as short text labels or empty fields to fill in. Leave space in each frame for sticky notes. Use the header colour given. Keep the wording as written and don't add extra content.</w:t>
      </w:r>
    </w:p>
    <w:p>
      <w:r>
        <w:t xml:space="preserve">Header fields to fill in: Portfolio, Date</w:t>
      </w:r>
    </w:p>
    <w:p>
      <w:r>
        <w:t xml:space="preserve">Sections:</w:t>
      </w:r>
    </w:p>
    <w:p>
      <w:r>
        <w:t xml:space="preserve">1. Portfolio Kanban: top full width, about 100% wide and 50% tall; header colour blue.</w:t>
      </w:r>
    </w:p>
    <w:p>
      <w:r>
        <w:t xml:space="preserve">   Subtitle: One sticky per initiative · pull, don't push</w:t>
      </w:r>
    </w:p>
    <w:p>
      <w:r>
        <w:t xml:space="preserve">   Content: Funnel · Reviewing · Analysing · Ready · Implementing · Done · Every new idea lands here · Worth a closer look? · Lean business case · Approved, waiting for capacity · MVP first, then persevere or pivot · Outcome measured · WIP limit: (×4) · Exit when: (×6)</w:t>
      </w:r>
    </w:p>
    <w:p>
      <w:r>
        <w:t xml:space="preserve">2. Lean Business Case: bottom left, about 50% wide and 45% tall; header colour purple.</w:t>
      </w:r>
    </w:p>
    <w:p>
      <w:r>
        <w:t xml:space="preserve">   Subtitle: One page per initiative in analysing</w:t>
      </w:r>
    </w:p>
    <w:p>
      <w:r>
        <w:t xml:space="preserve">   Content: Initiative: · Problem or opportunity: · Hypothesis · We believe… · will result in… · We'll know when… · Smallest version (MVP): · Cost range: · Cost of delay: · High · Medium · Low · Go / no-go criteria: · Decision: · Go to Ready · Not now · Stop</w:t>
      </w:r>
    </w:p>
    <w:p>
      <w:r>
        <w:t xml:space="preserve">3. Investment Mix: bottom centre, about 25% wide and 45% tall; header colour emerald green.</w:t>
      </w:r>
    </w:p>
    <w:p>
      <w:r>
        <w:t xml:space="preserve">   Subtitle: Agree the split up front</w:t>
      </w:r>
    </w:p>
    <w:p>
      <w:r>
        <w:t xml:space="preserve">   Content: Type of work: · Target %: · Actual %: · New bets · Grow existing · Run &amp; maintain · Tech debt &amp; enablers · Unplanned buffer · Total = 100% · Is the actual mix what we intended?</w:t>
      </w:r>
    </w:p>
    <w:p>
      <w:r>
        <w:t xml:space="preserve">4. Portfolio Review: bottom right, about 25% wide and 45% tall; header colour amber.</w:t>
      </w:r>
    </w:p>
    <w:p>
      <w:r>
        <w:t xml:space="preserve">   Content: Review cadence: · Decision forum: · WIP limits respected · Stop something to start something · Funding checked against outcomes · Done items had their outcome measured · Mix compared with the target · Next review:</w:t>
      </w:r>
    </w:p>
    <w:p>
      <w:r>
        <w:t xml:space="preserve">Footer questions: “What would we stop to make room for this?” “Which initiative, if it were the only one, would we finish first?”</w:t>
      </w:r>
    </w:p>
    <w:p>
      <w:r>
        <w:t xml:space="preserve">Original board for reference: https://eparker71.github.io/agile-ways-of-working/portfolio-kanban-board.html</w:t>
      </w:r>
    </w:p>
    <w:p>
      <w:pPr>
        <w:pStyle w:val="Small"/>
      </w:pPr>
      <w:r>
        <w:t xml:space="preserve">Boards: https://eparker71.github.io/agile-ways-of-working/portfolio-kanban-board.html  ·  Online guide: https://eparker71.github.io/agile-ways-of-working/facilitator-guide-portfolio-kanban.html</w:t>
      </w:r>
    </w:p>
    <w:p>
      <w:pPr>
        <w:pStyle w:val="Small"/>
      </w:pPr>
      <w:r>
        <w:t xml:space="preserve">© 2026 Eric Parker · CC BY 4.0 · eparker71.github.io/agile-ways-of-working · Adapt it freely; please keep the credit and say what you changed.</w:t>
      </w:r>
    </w:p>
    <w:sectPr>
      <w:pgSz w:w="11906" w:h="16838"/>
      <w:pgMar w:top="1134" w:right="1134" w:bottom="1134" w:left="1134" w:header="567" w:footer="567"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lvl>
  </w:abstractNum>
  <w:num w:numId="1">
    <w:abstractNumId w:val="0"/>
  </w:num>
</w:numbering>
</file>

<file path=word/styles.xml><?xml version="1.0" encoding="utf-8"?>
<w:styles xmlns:w="http://schemas.openxmlformats.org/wordprocessingml/2006/main">
  <w:docDefaults>
    <w:rPrDefault>
      <w:rPr>
        <w:rFonts w:ascii="Calibri" w:hAnsi="Calibri" w:cs="Calibri"/>
        <w:sz w:val="21"/>
        <w:color w:val="1E293B"/>
      </w:rPr>
    </w:rPrDefault>
    <w:pPrDefault>
      <w:pPr>
        <w:spacing w:after="120" w:line="276" w:lineRule="auto"/>
      </w:pPr>
    </w:pPrDefault>
  </w:docDefaults>
  <w:style w:type="paragraph" w:default="1" w:styleId="Normal">
    <w:name w:val="Normal"/>
  </w:style>
  <w:style w:type="paragraph" w:styleId="Title">
    <w:name w:val="Title"/>
    <w:basedOn w:val="Normal"/>
    <w:next w:val="Normal"/>
    <w:pPr>
      <w:spacing w:after="60"/>
    </w:pPr>
    <w:rPr>
      <w:rFonts w:ascii="Georgia" w:hAnsi="Georgia"/>
      <w:sz w:val="48"/>
      <w:color w:val="0C1A2E"/>
    </w:rPr>
  </w:style>
  <w:style w:type="paragraph" w:styleId="Heading1">
    <w:name w:val="heading 1"/>
    <w:basedOn w:val="Normal"/>
    <w:next w:val="Normal"/>
    <w:pPr>
      <w:keepNext/>
      <w:spacing w:before="320" w:after="100"/>
      <w:outlineLvl w:val="0"/>
    </w:pPr>
    <w:rPr>
      <w:rFonts w:ascii="Georgia" w:hAnsi="Georgia"/>
      <w:sz w:val="32"/>
      <w:color w:val="0C1A2E"/>
    </w:rPr>
  </w:style>
  <w:style w:type="paragraph" w:styleId="Heading2">
    <w:name w:val="heading 2"/>
    <w:basedOn w:val="Normal"/>
    <w:next w:val="Normal"/>
    <w:pPr>
      <w:keepNext/>
      <w:spacing w:before="200" w:after="60"/>
      <w:outlineLvl w:val="1"/>
    </w:pPr>
    <w:rPr>
      <w:b/>
      <w:sz w:val="23"/>
      <w:color w:val="9A3412"/>
    </w:rPr>
  </w:style>
  <w:style w:type="paragraph" w:styleId="Quote">
    <w:name w:val="Quote"/>
    <w:basedOn w:val="Normal"/>
    <w:pPr>
      <w:ind w:left="284"/>
      <w:pBdr>
        <w:left w:val="single" w:sz="18" w:space="8" w:color="EB6C36"/>
      </w:pBdr>
    </w:pPr>
    <w:rPr>
      <w:rFonts w:ascii="Georgia" w:hAnsi="Georgia"/>
      <w:i/>
      <w:sz w:val="26"/>
    </w:rPr>
  </w:style>
  <w:style w:type="paragraph" w:styleId="ListBullet">
    <w:name w:val="List Bullet"/>
    <w:basedOn w:val="Normal"/>
    <w:pPr>
      <w:spacing w:after="40"/>
    </w:pPr>
  </w:style>
  <w:style w:type="paragraph" w:styleId="Small">
    <w:name w:val="Small"/>
    <w:basedOn w:val="Normal"/>
    <w:rPr>
      <w:sz w:val="17"/>
      <w:color w:val="64748B"/>
    </w:rPr>
  </w:style>
  <w:style w:type="table" w:styleId="TableGrid">
    <w:name w:val="Table Grid"/>
    <w:tblP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00" w:type="dxa"/>
        <w:bottom w:w="60" w:type="dxa"/>
        <w:right w:w="10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core.xml><?xml version="1.0" encoding="utf-8"?>
<cp:coreProperties xmlns:cp="http://schemas.openxmlformats.org/package/2006/metadata/core-properties" xmlns:dc="http://purl.org/dc/elements/1.1/" xmlns:dcterms="http://purl.org/dc/terms/" xmlns:xsi="http://www.w3.org/2001/XMLSchema-instance">
  <dc:title>Portfolio Kanban &amp; Investment Mix Guide</dc:title>
  <dc:creator>Eric Parker</dc:creator>
</cp:coreProperties>
</file>