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Objectives &amp; Key Results Guide</w:t>
      </w:r>
    </w:p>
    <w:p>
      <w:r>
        <w:rPr>
          <w:i/>
        </w:rPr>
        <w:t xml:space="preserve">How to set a few ambitious objectives, measurable key results, and the bets teams will make to move them.</w:t>
      </w:r>
    </w:p>
    <w:p>
      <w:pPr>
        <w:pStyle w:val="Small"/>
      </w:pPr>
      <w:r>
        <w:t xml:space="preserve">Facilitator Run-Sheet · Coordinate Teams · OKRs · Outcomes Over Output</w:t>
      </w:r>
    </w:p>
    <w:p>
      <w:pPr>
        <w:pStyle w:val="Quote"/>
      </w:pPr>
      <w:r>
        <w:rPr>
          <w:i/>
        </w:rPr>
        <w:t xml:space="preserve">“If we achieved only one of these, which would matter most?”</w:t>
      </w:r>
    </w:p>
    <w:p>
      <w:r>
        <w:t xml:space="preserve">OKRs give several teams a shared direction without dictating the work. An </w:t>
      </w:r>
      <w:r>
        <w:rPr>
          <w:b/>
        </w:rPr>
        <w:t xml:space="preserve">objective</w:t>
      </w:r>
      <w:r>
        <w:t xml:space="preserve"> is a qualitative, inspiring goal; its </w:t>
      </w:r>
      <w:r>
        <w:rPr>
          <w:b/>
        </w:rPr>
        <w:t xml:space="preserve">key results</w:t>
      </w:r>
      <w:r>
        <w:t xml:space="preserve"> are measurable outcomes that show whether you got there. </w:t>
      </w:r>
      <w:r>
        <w:rPr>
          <w:b/>
        </w:rPr>
        <w:t xml:space="preserve">Initiatives</w:t>
      </w:r>
      <w:r>
        <w:t xml:space="preserve"> are the bets teams make to move the key results. The method was developed at Intel by Andy Grove and spread through John Doerr's </w:t>
      </w:r>
      <w:r>
        <w:rPr>
          <w:i/>
        </w:rPr>
        <w:t xml:space="preserve">Measure What Matters</w:t>
      </w:r>
      <w:r>
        <w:t xml:space="preserve">. A short </w:t>
      </w:r>
      <w:r>
        <w:rPr>
          <w:b/>
        </w:rPr>
        <w:t xml:space="preserve">not-doing</w:t>
      </w:r>
      <w:r>
        <w:t xml:space="preserve"> list keeps the focus honest.</w:t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Duration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Group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Use when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Output</w:t>
            </w:r>
          </w:p>
        </w:tc>
      </w:tr>
      <w:tr>
        <w:tc>
          <w:tcPr>
            <w:tcW w:w="2250" w:type="dxa"/>
          </w:tcPr>
          <w:p>
            <w:r>
              <w:t xml:space="preserve">2–3 h</w:t>
            </w:r>
          </w:p>
        </w:tc>
        <w:tc>
          <w:tcPr>
            <w:tcW w:w="2250" w:type="dxa"/>
          </w:tcPr>
          <w:p>
            <w:r>
              <w:t xml:space="preserve">Leaders, POs,</w:t>
            </w:r>
            <w:r>
              <w:br/>
            </w:r>
            <w:r>
              <w:t xml:space="preserve">team reps</w:t>
            </w:r>
          </w:p>
        </w:tc>
        <w:tc>
          <w:tcPr>
            <w:tcW w:w="2250" w:type="dxa"/>
          </w:tcPr>
          <w:p>
            <w:r>
              <w:t xml:space="preserve">The start of a quarter</w:t>
            </w:r>
            <w:r>
              <w:br/>
            </w:r>
            <w:r>
              <w:t xml:space="preserve">or planning period</w:t>
            </w:r>
          </w:p>
        </w:tc>
        <w:tc>
          <w:tcPr>
            <w:tcW w:w="2250" w:type="dxa"/>
          </w:tcPr>
          <w:p>
            <w:r>
              <w:t xml:space="preserve">3 objectives, KRs</w:t>
            </w:r>
            <w:r>
              <w:br/>
            </w:r>
            <w:r>
              <w:t xml:space="preserve">&amp; first bets</w:t>
            </w:r>
          </w:p>
        </w:tc>
      </w:tr>
    </w:tbl>
    <w:p/>
    <w:p>
      <w:pPr>
        <w:pStyle w:val="Heading1"/>
      </w:pPr>
      <w:r>
        <w:t xml:space="preserve">Before the session</w:t>
      </w:r>
    </w:p>
    <w:p>
      <w:pPr>
        <w:pStyle w:val="ListBullet"/>
        <w:numPr>
          <w:ilvl w:val="0"/>
          <w:numId w:val="1"/>
        </w:numPr>
      </w:pPr>
      <w:r>
        <w:t xml:space="preserve">Print the board at A3 or larger, or load the SVG as a digital background</w:t>
      </w:r>
    </w:p>
    <w:p>
      <w:pPr>
        <w:pStyle w:val="ListBullet"/>
        <w:numPr>
          <w:ilvl w:val="0"/>
          <w:numId w:val="1"/>
        </w:numPr>
      </w:pPr>
      <w:r>
        <w:t xml:space="preserve">Bring the product vision, strategy, and last period's results</w:t>
      </w:r>
    </w:p>
    <w:p>
      <w:pPr>
        <w:pStyle w:val="ListBullet"/>
        <w:numPr>
          <w:ilvl w:val="0"/>
          <w:numId w:val="1"/>
        </w:numPr>
      </w:pPr>
      <w:r>
        <w:t xml:space="preserve">Gather baseline data for likely measures</w:t>
      </w:r>
    </w:p>
    <w:p>
      <w:pPr>
        <w:pStyle w:val="ListBullet"/>
        <w:numPr>
          <w:ilvl w:val="0"/>
          <w:numId w:val="1"/>
        </w:numPr>
      </w:pPr>
      <w:r>
        <w:t xml:space="preserve">Invite people who can commit their teams' effort</w:t>
      </w:r>
    </w:p>
    <w:p>
      <w:pPr>
        <w:pStyle w:val="ListBullet"/>
        <w:numPr>
          <w:ilvl w:val="0"/>
          <w:numId w:val="1"/>
        </w:numPr>
      </w:pPr>
      <w:r>
        <w:t xml:space="preserve">Yellow stickies, markers and dot stickers</w:t>
      </w:r>
    </w:p>
    <w:p>
      <w:pPr>
        <w:pStyle w:val="Heading1"/>
      </w:pPr>
      <w:r>
        <w:t xml:space="preserve">Agenda &amp; run-sheet</w:t>
      </w:r>
    </w:p>
    <w:tbl>
      <w:tblPr>
        <w:tblStyle w:val="TableGrid"/>
        <w:tblW w:w="0" w:type="auto"/>
      </w:tblPr>
      <w:tblGrid>
        <w:gridCol w:w="1300"/>
        <w:gridCol w:w="2300"/>
        <w:gridCol w:w="5400"/>
      </w:tblGrid>
      <w:tr>
        <w:trPr>
          <w:tblHeader/>
        </w:trPr>
        <w:tc>
          <w:tcPr>
            <w:tcW w:w="1300" w:type="dxa"/>
            <w:shd w:val="clear" w:color="auto" w:fill="EEF2F6"/>
          </w:tcPr>
          <w:p>
            <w:r>
              <w:rPr>
                <w:b/>
              </w:rPr>
              <w:t xml:space="preserve">Time</w:t>
            </w:r>
          </w:p>
        </w:tc>
        <w:tc>
          <w:tcPr>
            <w:tcW w:w="2300" w:type="dxa"/>
            <w:shd w:val="clear" w:color="auto" w:fill="EEF2F6"/>
          </w:tcPr>
          <w:p>
            <w:r>
              <w:rPr>
                <w:b/>
              </w:rPr>
              <w:t xml:space="preserve">Section</w:t>
            </w:r>
          </w:p>
        </w:tc>
        <w:tc>
          <w:tcPr>
            <w:tcW w:w="5400" w:type="dxa"/>
            <w:shd w:val="clear" w:color="auto" w:fill="EEF2F6"/>
          </w:tcPr>
          <w:p>
            <w:r>
              <w:rPr>
                <w:b/>
              </w:rPr>
              <w:t xml:space="preserve">Facilitator notes</w:t>
            </w:r>
          </w:p>
        </w:tc>
      </w:tr>
      <w:tr>
        <w:tc>
          <w:tcPr>
            <w:tcW w:w="1300" w:type="dxa"/>
          </w:tcPr>
          <w:p>
            <w:r>
              <w:t xml:space="preserve">0–15</w:t>
            </w:r>
          </w:p>
        </w:tc>
        <w:tc>
          <w:tcPr>
            <w:tcW w:w="2300" w:type="dxa"/>
          </w:tcPr>
          <w:p>
            <w:r>
              <w:t xml:space="preserve">Focus for This Period</w:t>
            </w:r>
          </w:p>
        </w:tc>
        <w:tc>
          <w:tcPr>
            <w:tcW w:w="5400" w:type="dxa"/>
          </w:tcPr>
          <w:p>
            <w:r>
              <w:t xml:space="preserve">Agree why these objectives, and why now. Review last period's scores briefly.</w:t>
            </w:r>
          </w:p>
        </w:tc>
      </w:tr>
      <w:tr>
        <w:tc>
          <w:tcPr>
            <w:tcW w:w="1300" w:type="dxa"/>
          </w:tcPr>
          <w:p>
            <w:r>
              <w:t xml:space="preserve">15–50</w:t>
            </w:r>
          </w:p>
        </w:tc>
        <w:tc>
          <w:tcPr>
            <w:tcW w:w="2300" w:type="dxa"/>
          </w:tcPr>
          <w:p>
            <w:r>
              <w:t xml:space="preserve">Objectives</w:t>
            </w:r>
          </w:p>
        </w:tc>
        <w:tc>
          <w:tcPr>
            <w:tcW w:w="5400" w:type="dxa"/>
          </w:tcPr>
          <w:p>
            <w:r>
              <w:t xml:space="preserve">Brainstorm candidate objectives, dot-vote, and keep at most three. Write each as “We will…”</w:t>
            </w:r>
          </w:p>
        </w:tc>
      </w:tr>
      <w:tr>
        <w:tc>
          <w:tcPr>
            <w:tcW w:w="1300" w:type="dxa"/>
          </w:tcPr>
          <w:p>
            <w:r>
              <w:t xml:space="preserve">50–100</w:t>
            </w:r>
          </w:p>
        </w:tc>
        <w:tc>
          <w:tcPr>
            <w:tcW w:w="2300" w:type="dxa"/>
          </w:tcPr>
          <w:p>
            <w:r>
              <w:t xml:space="preserve">Key Results</w:t>
            </w:r>
          </w:p>
        </w:tc>
        <w:tc>
          <w:tcPr>
            <w:tcW w:w="5400" w:type="dxa"/>
          </w:tcPr>
          <w:p>
            <w:r>
              <w:t xml:space="preserve">For each objective, agree 2–4 measurable outcomes with a start value and a target. Rate confidence 1–10.</w:t>
            </w:r>
          </w:p>
        </w:tc>
      </w:tr>
      <w:tr>
        <w:tc>
          <w:tcPr>
            <w:tcW w:w="1300" w:type="dxa"/>
          </w:tcPr>
          <w:p>
            <w:r>
              <w:t xml:space="preserve">100–130</w:t>
            </w:r>
          </w:p>
        </w:tc>
        <w:tc>
          <w:tcPr>
            <w:tcW w:w="2300" w:type="dxa"/>
          </w:tcPr>
          <w:p>
            <w:r>
              <w:t xml:space="preserve">Initiatives</w:t>
            </w:r>
          </w:p>
        </w:tc>
        <w:tc>
          <w:tcPr>
            <w:tcW w:w="5400" w:type="dxa"/>
          </w:tcPr>
          <w:p>
            <w:r>
              <w:t xml:space="preserve">Teams propose bets that could move each key result. Name the contributing teams.</w:t>
            </w:r>
          </w:p>
        </w:tc>
      </w:tr>
      <w:tr>
        <w:tc>
          <w:tcPr>
            <w:tcW w:w="1300" w:type="dxa"/>
          </w:tcPr>
          <w:p>
            <w:r>
              <w:t xml:space="preserve">130–145</w:t>
            </w:r>
          </w:p>
        </w:tc>
        <w:tc>
          <w:tcPr>
            <w:tcW w:w="2300" w:type="dxa"/>
          </w:tcPr>
          <w:p>
            <w:r>
              <w:t xml:space="preserve">4 · Check-in Rhythm</w:t>
            </w:r>
          </w:p>
        </w:tc>
        <w:tc>
          <w:tcPr>
            <w:tcW w:w="5400" w:type="dxa"/>
          </w:tcPr>
          <w:p>
            <w:r>
              <w:t xml:space="preserve">Agree when to check confidence, when to review mid-period, and how to score at the end.</w:t>
            </w:r>
          </w:p>
        </w:tc>
      </w:tr>
      <w:tr>
        <w:tc>
          <w:tcPr>
            <w:tcW w:w="1300" w:type="dxa"/>
          </w:tcPr>
          <w:p>
            <w:r>
              <w:t xml:space="preserve">145–160</w:t>
            </w:r>
          </w:p>
        </w:tc>
        <w:tc>
          <w:tcPr>
            <w:tcW w:w="2300" w:type="dxa"/>
          </w:tcPr>
          <w:p>
            <w:r>
              <w:t xml:space="preserve">5 · Not Doing · Close</w:t>
            </w:r>
          </w:p>
        </w:tc>
        <w:tc>
          <w:tcPr>
            <w:tcW w:w="5400" w:type="dxa"/>
          </w:tcPr>
          <w:p>
            <w:r>
              <w:t xml:space="preserve">List what you're explicitly not doing this period. Read the board back.</w:t>
            </w:r>
          </w:p>
        </w:tc>
      </w:tr>
    </w:tbl>
    <w:p/>
    <w:p>
      <w:pPr>
        <w:pStyle w:val="Heading1"/>
      </w:pPr>
      <w:r>
        <w:t xml:space="preserve">Making each part strong</w:t>
      </w:r>
    </w:p>
    <w:p>
      <w:r>
        <w:t xml:space="preserve">Quality checks for objectives, key results and the rest of the board.</w:t>
      </w:r>
    </w:p>
    <w:p>
      <w:pPr>
        <w:pStyle w:val="Heading2"/>
      </w:pPr>
      <w:r>
        <w:t xml:space="preserve">Objectives</w:t>
      </w:r>
    </w:p>
    <w:p>
      <w:pPr>
        <w:pStyle w:val="ListBullet"/>
        <w:numPr>
          <w:ilvl w:val="0"/>
          <w:numId w:val="1"/>
        </w:numPr>
      </w:pPr>
      <w:r>
        <w:t xml:space="preserve">Qualitative and inspiring</w:t>
      </w:r>
    </w:p>
    <w:p>
      <w:pPr>
        <w:pStyle w:val="ListBullet"/>
        <w:numPr>
          <w:ilvl w:val="0"/>
          <w:numId w:val="1"/>
        </w:numPr>
      </w:pPr>
      <w:r>
        <w:t xml:space="preserve">No more than three</w:t>
      </w:r>
    </w:p>
    <w:p>
      <w:pPr>
        <w:pStyle w:val="ListBullet"/>
        <w:numPr>
          <w:ilvl w:val="0"/>
          <w:numId w:val="1"/>
        </w:numPr>
      </w:pPr>
      <w:r>
        <w:t xml:space="preserve">Clear why it matters</w:t>
      </w:r>
    </w:p>
    <w:p>
      <w:pPr>
        <w:pStyle w:val="Heading2"/>
      </w:pPr>
      <w:r>
        <w:t xml:space="preserve">Key Results</w:t>
      </w:r>
    </w:p>
    <w:p>
      <w:pPr>
        <w:pStyle w:val="ListBullet"/>
        <w:numPr>
          <w:ilvl w:val="0"/>
          <w:numId w:val="1"/>
        </w:numPr>
      </w:pPr>
      <w:r>
        <w:t xml:space="preserve">Outcomes, not tasks</w:t>
      </w:r>
    </w:p>
    <w:p>
      <w:pPr>
        <w:pStyle w:val="ListBullet"/>
        <w:numPr>
          <w:ilvl w:val="0"/>
          <w:numId w:val="1"/>
        </w:numPr>
      </w:pPr>
      <w:r>
        <w:t xml:space="preserve">Start and target values</w:t>
      </w:r>
    </w:p>
    <w:p>
      <w:pPr>
        <w:pStyle w:val="ListBullet"/>
        <w:numPr>
          <w:ilvl w:val="0"/>
          <w:numId w:val="1"/>
        </w:numPr>
      </w:pPr>
      <w:r>
        <w:t xml:space="preserve">2–4 per objective</w:t>
      </w:r>
    </w:p>
    <w:p>
      <w:pPr>
        <w:pStyle w:val="Heading2"/>
      </w:pPr>
      <w:r>
        <w:t xml:space="preserve">Initiatives</w:t>
      </w:r>
    </w:p>
    <w:p>
      <w:pPr>
        <w:pStyle w:val="ListBullet"/>
        <w:numPr>
          <w:ilvl w:val="0"/>
          <w:numId w:val="1"/>
        </w:numPr>
      </w:pPr>
      <w:r>
        <w:t xml:space="preserve">Bets, not commitments</w:t>
      </w:r>
    </w:p>
    <w:p>
      <w:pPr>
        <w:pStyle w:val="ListBullet"/>
        <w:numPr>
          <w:ilvl w:val="0"/>
          <w:numId w:val="1"/>
        </w:numPr>
      </w:pPr>
      <w:r>
        <w:t xml:space="preserve">Linked to a key result</w:t>
      </w:r>
    </w:p>
    <w:p>
      <w:pPr>
        <w:pStyle w:val="ListBullet"/>
        <w:numPr>
          <w:ilvl w:val="0"/>
          <w:numId w:val="1"/>
        </w:numPr>
      </w:pPr>
      <w:r>
        <w:t xml:space="preserve">Teams choose them</w:t>
      </w:r>
    </w:p>
    <w:p>
      <w:pPr>
        <w:pStyle w:val="Heading2"/>
      </w:pPr>
      <w:r>
        <w:t xml:space="preserve">4 · Check-in Rhythm</w:t>
      </w:r>
    </w:p>
    <w:p>
      <w:pPr>
        <w:pStyle w:val="ListBullet"/>
        <w:numPr>
          <w:ilvl w:val="0"/>
          <w:numId w:val="1"/>
        </w:numPr>
      </w:pPr>
      <w:r>
        <w:t xml:space="preserve">Confidence tracked weekly</w:t>
      </w:r>
    </w:p>
    <w:p>
      <w:pPr>
        <w:pStyle w:val="ListBullet"/>
        <w:numPr>
          <w:ilvl w:val="0"/>
          <w:numId w:val="1"/>
        </w:numPr>
      </w:pPr>
      <w:r>
        <w:t xml:space="preserve">Scoring agreed up front</w:t>
      </w:r>
    </w:p>
    <w:p>
      <w:pPr>
        <w:pStyle w:val="Heading2"/>
      </w:pPr>
      <w:r>
        <w:t xml:space="preserve">5 · Not Doing</w:t>
      </w:r>
    </w:p>
    <w:p>
      <w:pPr>
        <w:pStyle w:val="ListBullet"/>
        <w:numPr>
          <w:ilvl w:val="0"/>
          <w:numId w:val="1"/>
        </w:numPr>
      </w:pPr>
      <w:r>
        <w:t xml:space="preserve">Real things people expected</w:t>
      </w:r>
    </w:p>
    <w:p>
      <w:pPr>
        <w:pStyle w:val="ListBullet"/>
        <w:numPr>
          <w:ilvl w:val="0"/>
          <w:numId w:val="1"/>
        </w:numPr>
      </w:pPr>
      <w:r>
        <w:t xml:space="preserve">Shared widely</w:t>
      </w:r>
    </w:p>
    <w:p>
      <w:pPr>
        <w:pStyle w:val="Heading1"/>
      </w:pPr>
      <w:r>
        <w:t xml:space="preserve">Facilitation tips</w:t>
      </w:r>
    </w:p>
    <w:p>
      <w:r>
        <w:rPr>
          <w:b/>
        </w:rPr>
        <w:t xml:space="preserve">Outcomes, not output. </w:t>
      </w:r>
      <w:r>
        <w:t xml:space="preserve">“Launch the new app” is a task. “Cut onboarding time from 10 to 3 minutes” is a key result.</w:t>
      </w:r>
    </w:p>
    <w:p>
      <w:r>
        <w:rPr>
          <w:b/>
        </w:rPr>
        <w:t xml:space="preserve">Ambitious but honest. </w:t>
      </w:r>
      <w:r>
        <w:t xml:space="preserve">Aim high. Scoring 0.7 on an ambitious key result is often a good result.</w:t>
      </w:r>
    </w:p>
    <w:p>
      <w:r>
        <w:rPr>
          <w:b/>
        </w:rPr>
        <w:t xml:space="preserve">Few beats many. </w:t>
      </w:r>
      <w:r>
        <w:t xml:space="preserve">Three objectives with focus beat ten that spread effort thin.</w:t>
      </w:r>
    </w:p>
    <w:p>
      <w:r>
        <w:rPr>
          <w:b/>
        </w:rPr>
        <w:t xml:space="preserve">Teams pick the bets. </w:t>
      </w:r>
      <w:r>
        <w:t xml:space="preserve">Leaders set the outcomes; teams decide how to move them.</w:t>
      </w:r>
    </w:p>
    <w:p>
      <w:r>
        <w:rPr>
          <w:b/>
        </w:rPr>
        <w:t xml:space="preserve">Don't tie to pay. </w:t>
      </w:r>
      <w:r>
        <w:t xml:space="preserve">OKRs linked to bonuses become sandbagged. Keep them for direction and learning.</w:t>
      </w:r>
    </w:p>
    <w:p>
      <w:r>
        <w:rPr>
          <w:b/>
        </w:rPr>
        <w:t xml:space="preserve">Check confidence often. </w:t>
      </w:r>
      <w:r>
        <w:t xml:space="preserve">A weekly 1–10 confidence check spots trouble early.</w:t>
      </w:r>
    </w:p>
    <w:p>
      <w:r>
        <w:rPr>
          <w:b/>
        </w:rPr>
        <w:t xml:space="preserve">Common pitfalls: </w:t>
      </w:r>
      <w:r>
        <w:t xml:space="preserve">key results that are task lists; too many objectives; targets set without baselines; OKRs used for performance reviews; never checking in until the end; no not-doing list, so nothing changes.</w:t>
      </w:r>
    </w:p>
    <w:p>
      <w:pPr>
        <w:pStyle w:val="Heading1"/>
      </w:pPr>
      <w:r>
        <w:t xml:space="preserve">After the session</w:t>
      </w:r>
    </w:p>
    <w:p>
      <w:r>
        <w:rPr>
          <w:b/>
        </w:rPr>
        <w:t xml:space="preserve">Straight away: </w:t>
      </w:r>
      <w:r>
        <w:t xml:space="preserve">Publish the OKRs where every team can see them.</w:t>
      </w:r>
    </w:p>
    <w:p>
      <w:r>
        <w:rPr>
          <w:b/>
        </w:rPr>
        <w:t xml:space="preserve">Planning: </w:t>
      </w:r>
      <w:r>
        <w:t xml:space="preserve">Use them as the shared objectives on the Cross-Team Planning board.</w:t>
      </w:r>
    </w:p>
    <w:p>
      <w:r>
        <w:rPr>
          <w:b/>
        </w:rPr>
        <w:t xml:space="preserve">Weekly: </w:t>
      </w:r>
      <w:r>
        <w:t xml:space="preserve">Update confidence for each key result; discuss any that drop.</w:t>
      </w:r>
    </w:p>
    <w:p>
      <w:r>
        <w:rPr>
          <w:b/>
        </w:rPr>
        <w:t xml:space="preserve">End of period: </w:t>
      </w:r>
      <w:r>
        <w:t xml:space="preserve">Score each key result, reflect on what you learned, and set the next OKRs.</w:t>
      </w:r>
    </w:p>
    <w:p>
      <w:pPr>
        <w:pStyle w:val="Heading1"/>
      </w:pPr>
      <w:r>
        <w:t xml:space="preserve">How it fits the toolkit</w:t>
      </w:r>
    </w:p>
    <w:p>
      <w:r>
        <w:t xml:space="preserve">The program tools coordinate several teams: agree </w:t>
      </w:r>
      <w:r>
        <w:t xml:space="preserve">Objectives &amp; Key Results</w:t>
      </w:r>
      <w:r>
        <w:t xml:space="preserve">, plan together with the </w:t>
      </w:r>
      <w:r>
        <w:t xml:space="preserve">Cross-Team Planning</w:t>
      </w:r>
      <w:r>
        <w:t xml:space="preserve"> board, make links visible on the </w:t>
      </w:r>
      <w:r>
        <w:t xml:space="preserve">Dependency Map</w:t>
      </w:r>
      <w:r>
        <w:t xml:space="preserve">, and keep in step with a regular </w:t>
      </w:r>
      <w:r>
        <w:t xml:space="preserve">Cross-Team Sync</w:t>
      </w:r>
      <w:r>
        <w:t xml:space="preserve">. Each team still plans, reviews and improves with the team-level tools.</w:t>
      </w:r>
    </w:p>
    <w:p>
      <w:pPr>
        <w:pStyle w:val="Small"/>
      </w:pPr>
      <w:r>
        <w:t xml:space="preserve">Boards: https://eparker71.github.io/agile-ways-of-working/okr-board.html  ·  Online guide: https://eparker71.github.io/agile-ways-of-working/facilitator-guide-okr.html</w:t>
      </w:r>
    </w:p>
    <w:p>
      <w:pPr>
        <w:pStyle w:val="Small"/>
      </w:pPr>
      <w:r>
        <w:t xml:space="preserve">© 2026 Eric Parker · CC BY 4.0 · eparker71.github.io/agile-ways-of-working · Adapt it freely; please keep the credit and say what you changed.</w:t>
      </w:r>
    </w:p>
    <w:sectPr>
      <w:pgSz w:w="11906" w:h="16838"/>
      <w:pgMar w:top="1134" w:right="1134" w:bottom="1134" w:left="1134" w:header="567" w:footer="567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color w:val="1E293B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60"/>
    </w:pPr>
    <w:rPr>
      <w:rFonts w:ascii="Georgia" w:hAnsi="Georgia"/>
      <w:sz w:val="48"/>
      <w:color w:val="0C1A2E"/>
    </w:rPr>
  </w:style>
  <w:style w:type="paragraph" w:styleId="Heading1">
    <w:name w:val="heading 1"/>
    <w:basedOn w:val="Normal"/>
    <w:next w:val="Normal"/>
    <w:pPr>
      <w:keepNext/>
      <w:spacing w:before="320" w:after="100"/>
      <w:outlineLvl w:val="0"/>
    </w:pPr>
    <w:rPr>
      <w:rFonts w:ascii="Georgia" w:hAnsi="Georgia"/>
      <w:sz w:val="32"/>
      <w:color w:val="0C1A2E"/>
    </w:rPr>
  </w:style>
  <w:style w:type="paragraph" w:styleId="Heading2">
    <w:name w:val="heading 2"/>
    <w:basedOn w:val="Normal"/>
    <w:next w:val="Normal"/>
    <w:pPr>
      <w:keepNext/>
      <w:spacing w:before="200" w:after="60"/>
      <w:outlineLvl w:val="1"/>
    </w:pPr>
    <w:rPr>
      <w:b/>
      <w:sz w:val="23"/>
      <w:color w:val="9A3412"/>
    </w:rPr>
  </w:style>
  <w:style w:type="paragraph" w:styleId="Quote">
    <w:name w:val="Quote"/>
    <w:basedOn w:val="Normal"/>
    <w:pPr>
      <w:ind w:left="284"/>
      <w:pBdr>
        <w:left w:val="single" w:sz="18" w:space="8" w:color="EB6C36"/>
      </w:pBdr>
    </w:pPr>
    <w:rPr>
      <w:rFonts w:ascii="Georgia" w:hAnsi="Georgia"/>
      <w:i/>
      <w:sz w:val="26"/>
    </w:rPr>
  </w:style>
  <w:style w:type="paragraph" w:styleId="ListBullet">
    <w:name w:val="List Bullet"/>
    <w:basedOn w:val="Normal"/>
    <w:pPr>
      <w:spacing w:after="40"/>
    </w:pPr>
  </w:style>
  <w:style w:type="paragraph" w:styleId="Small">
    <w:name w:val="Small"/>
    <w:basedOn w:val="Normal"/>
    <w:rPr>
      <w:sz w:val="17"/>
      <w:color w:val="64748B"/>
    </w:rPr>
  </w:style>
  <w:style w:type="table" w:styleId="TableGrid">
    <w:name w:val="Table Grid"/>
    <w:tblPr>
      <w:tblBorders>
        <w:top w:val="single" w:sz="4" w:space="0" w:color="CBD5E1"/>
        <w:left w:val="single" w:sz="4" w:space="0" w:color="CBD5E1"/>
        <w:bottom w:val="single" w:sz="4" w:space="0" w:color="CBD5E1"/>
        <w:right w:val="single" w:sz="4" w:space="0" w:color="CBD5E1"/>
        <w:insideH w:val="single" w:sz="4" w:space="0" w:color="CBD5E1"/>
        <w:insideV w:val="single" w:sz="4" w:space="0" w:color="CBD5E1"/>
      </w:tblBorders>
      <w:tblCellMar>
        <w:top w:w="60" w:type="dxa"/>
        <w:left w:w="100" w:type="dxa"/>
        <w:bottom w:w="6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Objectives &amp; Key Results Guide</dc:title>
  <dc:creator>Eric Parker</dc:creator>
</cp:coreProperties>
</file>