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Opportunity Solution Tree Guide</w:t>
      </w:r>
    </w:p>
    <w:p>
      <w:r>
        <w:rPr>
          <w:i/>
        </w:rPr>
        <w:t xml:space="preserve">How to connect an outcome to customer opportunities and solutions, and test the riskiest assumptions first.</w:t>
      </w:r>
    </w:p>
    <w:p>
      <w:pPr>
        <w:pStyle w:val="Small"/>
      </w:pPr>
      <w:r>
        <w:t xml:space="preserve">Facilitator Run-Sheet · Continuous Discovery · Inspired by Teresa Torres</w:t>
      </w:r>
    </w:p>
    <w:p>
      <w:pPr>
        <w:pStyle w:val="Quote"/>
      </w:pPr>
      <w:r>
        <w:rPr>
          <w:i/>
        </w:rPr>
        <w:t xml:space="preserve">“What must be true for this solution to work, and how could we find out this week?”</w:t>
      </w:r>
    </w:p>
    <w:p>
      <w:r>
        <w:t xml:space="preserve">Teams often jump from a goal straight to a feature. The </w:t>
      </w:r>
      <w:r>
        <w:rPr>
          <w:b/>
        </w:rPr>
        <w:t xml:space="preserve">opportunity solution tree</w:t>
      </w:r>
      <w:r>
        <w:t xml:space="preserve">, from Teresa Torres' </w:t>
      </w:r>
      <w:r>
        <w:rPr>
          <w:i/>
        </w:rPr>
        <w:t xml:space="preserve">Continuous Discovery Habits</w:t>
      </w:r>
      <w:r>
        <w:t xml:space="preserve">, adds the missing step: start with one measurable </w:t>
      </w:r>
      <w:r>
        <w:rPr>
          <w:b/>
        </w:rPr>
        <w:t xml:space="preserve">outcome</w:t>
      </w:r>
      <w:r>
        <w:t xml:space="preserve">, map the customer </w:t>
      </w:r>
      <w:r>
        <w:rPr>
          <w:b/>
        </w:rPr>
        <w:t xml:space="preserve">opportunities</w:t>
      </w:r>
      <w:r>
        <w:t xml:space="preserve"> (needs, pains and desires) that could move it, then explore several </w:t>
      </w:r>
      <w:r>
        <w:rPr>
          <w:b/>
        </w:rPr>
        <w:t xml:space="preserve">solutions</w:t>
      </w:r>
      <w:r>
        <w:t xml:space="preserve"> for each. The </w:t>
      </w:r>
      <w:r>
        <w:rPr>
          <w:b/>
        </w:rPr>
        <w:t xml:space="preserve">assumption map</w:t>
      </w:r>
      <w:r>
        <w:t xml:space="preserve"> sorts what must be true by importance and evidence, so the team tests the riskiest assumptions first with small, cheap experiments.</w:t>
      </w:r>
    </w:p>
    <w:tbl>
      <w:tblPr>
        <w:tblStyle w:val="TableGrid"/>
        <w:tblW w:w="0" w:type="auto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Duration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Group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Use when</w:t>
            </w:r>
          </w:p>
        </w:tc>
        <w:tc>
          <w:tcPr>
            <w:tcW w:w="2250" w:type="dxa"/>
            <w:shd w:val="clear" w:color="auto" w:fill="EEF2F6"/>
          </w:tcPr>
          <w:p>
            <w:r>
              <w:rPr>
                <w:b/>
              </w:rPr>
              <w:t xml:space="preserve">Output</w:t>
            </w:r>
          </w:p>
        </w:tc>
      </w:tr>
      <w:tr>
        <w:tc>
          <w:tcPr>
            <w:tcW w:w="2250" w:type="dxa"/>
          </w:tcPr>
          <w:p>
            <w:r>
              <w:t xml:space="preserve">90 min, then</w:t>
            </w:r>
            <w:r>
              <w:br/>
            </w:r>
            <w:r>
              <w:t xml:space="preserve">weekly updates</w:t>
            </w:r>
          </w:p>
        </w:tc>
        <w:tc>
          <w:tcPr>
            <w:tcW w:w="2250" w:type="dxa"/>
          </w:tcPr>
          <w:p>
            <w:r>
              <w:t xml:space="preserve">Product trio: PO / PM,</w:t>
            </w:r>
            <w:r>
              <w:br/>
            </w:r>
            <w:r>
              <w:t xml:space="preserve">designer, tech lead</w:t>
            </w:r>
          </w:p>
        </w:tc>
        <w:tc>
          <w:tcPr>
            <w:tcW w:w="2250" w:type="dxa"/>
          </w:tcPr>
          <w:p>
            <w:r>
              <w:t xml:space="preserve">Choosing what to</w:t>
            </w:r>
            <w:r>
              <w:br/>
            </w:r>
            <w:r>
              <w:t xml:space="preserve">build next</w:t>
            </w:r>
          </w:p>
        </w:tc>
        <w:tc>
          <w:tcPr>
            <w:tcW w:w="2250" w:type="dxa"/>
          </w:tcPr>
          <w:p>
            <w:r>
              <w:t xml:space="preserve">A tree, ranked</w:t>
            </w:r>
            <w:r>
              <w:br/>
            </w:r>
            <w:r>
              <w:t xml:space="preserve">assumptions &amp; tests</w:t>
            </w:r>
          </w:p>
        </w:tc>
      </w:tr>
    </w:tbl>
    <w:p/>
    <w:p>
      <w:pPr>
        <w:pStyle w:val="Heading1"/>
      </w:pPr>
      <w:r>
        <w:t xml:space="preserve">Before the session</w:t>
      </w:r>
    </w:p>
    <w:p>
      <w:pPr>
        <w:pStyle w:val="ListBullet"/>
        <w:numPr>
          <w:ilvl w:val="0"/>
          <w:numId w:val="1"/>
        </w:numPr>
      </w:pPr>
      <w:r>
        <w:t xml:space="preserve">Print the board at A3 or larger, or load the SVG as a digital background</w:t>
      </w:r>
    </w:p>
    <w:p>
      <w:pPr>
        <w:pStyle w:val="ListBullet"/>
        <w:numPr>
          <w:ilvl w:val="0"/>
          <w:numId w:val="1"/>
        </w:numPr>
      </w:pPr>
      <w:r>
        <w:t xml:space="preserve">Agree one product outcome to focus on, ideally from the OKRs or Product Vision Board</w:t>
      </w:r>
    </w:p>
    <w:p>
      <w:pPr>
        <w:pStyle w:val="ListBullet"/>
        <w:numPr>
          <w:ilvl w:val="0"/>
          <w:numId w:val="1"/>
        </w:numPr>
      </w:pPr>
      <w:r>
        <w:t xml:space="preserve">Bring evidence from customers: interviews, support tickets, analytics</w:t>
      </w:r>
    </w:p>
    <w:p>
      <w:pPr>
        <w:pStyle w:val="ListBullet"/>
        <w:numPr>
          <w:ilvl w:val="0"/>
          <w:numId w:val="1"/>
        </w:numPr>
      </w:pPr>
      <w:r>
        <w:t xml:space="preserve">Blue, yellow, pink and green stickies, and markers</w:t>
      </w:r>
    </w:p>
    <w:p>
      <w:pPr>
        <w:pStyle w:val="ListBullet"/>
        <w:numPr>
          <w:ilvl w:val="0"/>
          <w:numId w:val="1"/>
        </w:numPr>
      </w:pPr>
      <w:r>
        <w:t xml:space="preserve">Ideally, keep interviewing customers each week to feed the tree</w:t>
      </w:r>
    </w:p>
    <w:p>
      <w:pPr>
        <w:pStyle w:val="Heading1"/>
      </w:pPr>
      <w:r>
        <w:t xml:space="preserve">Agenda &amp; run-sheet</w:t>
      </w:r>
    </w:p>
    <w:tbl>
      <w:tblPr>
        <w:tblStyle w:val="TableGrid"/>
        <w:tblW w:w="0" w:type="auto"/>
      </w:tblPr>
      <w:tblGrid>
        <w:gridCol w:w="1300"/>
        <w:gridCol w:w="2300"/>
        <w:gridCol w:w="5400"/>
      </w:tblGrid>
      <w:tr>
        <w:trPr>
          <w:tblHeader/>
        </w:trPr>
        <w:tc>
          <w:tcPr>
            <w:tcW w:w="1300" w:type="dxa"/>
            <w:shd w:val="clear" w:color="auto" w:fill="EEF2F6"/>
          </w:tcPr>
          <w:p>
            <w:r>
              <w:rPr>
                <w:b/>
              </w:rPr>
              <w:t xml:space="preserve">Time</w:t>
            </w:r>
          </w:p>
        </w:tc>
        <w:tc>
          <w:tcPr>
            <w:tcW w:w="2300" w:type="dxa"/>
            <w:shd w:val="clear" w:color="auto" w:fill="EEF2F6"/>
          </w:tcPr>
          <w:p>
            <w:r>
              <w:rPr>
                <w:b/>
              </w:rPr>
              <w:t xml:space="preserve">Section</w:t>
            </w:r>
          </w:p>
        </w:tc>
        <w:tc>
          <w:tcPr>
            <w:tcW w:w="5400" w:type="dxa"/>
            <w:shd w:val="clear" w:color="auto" w:fill="EEF2F6"/>
          </w:tcPr>
          <w:p>
            <w:r>
              <w:rPr>
                <w:b/>
              </w:rPr>
              <w:t xml:space="preserve">Facilitator notes</w:t>
            </w:r>
          </w:p>
        </w:tc>
      </w:tr>
      <w:tr>
        <w:tc>
          <w:tcPr>
            <w:tcW w:w="1300" w:type="dxa"/>
          </w:tcPr>
          <w:p>
            <w:r>
              <w:t xml:space="preserve">0–10</w:t>
            </w:r>
          </w:p>
        </w:tc>
        <w:tc>
          <w:tcPr>
            <w:tcW w:w="2300" w:type="dxa"/>
          </w:tcPr>
          <w:p>
            <w:r>
              <w:t xml:space="preserve">Outcome</w:t>
            </w:r>
          </w:p>
        </w:tc>
        <w:tc>
          <w:tcPr>
            <w:tcW w:w="5400" w:type="dxa"/>
          </w:tcPr>
          <w:p>
            <w:r>
              <w:t xml:space="preserve">Write one measurable product outcome at the top. Not a feature or an output.</w:t>
            </w:r>
          </w:p>
        </w:tc>
      </w:tr>
      <w:tr>
        <w:tc>
          <w:tcPr>
            <w:tcW w:w="1300" w:type="dxa"/>
          </w:tcPr>
          <w:p>
            <w:r>
              <w:t xml:space="preserve">10–30</w:t>
            </w:r>
          </w:p>
        </w:tc>
        <w:tc>
          <w:tcPr>
            <w:tcW w:w="2300" w:type="dxa"/>
          </w:tcPr>
          <w:p>
            <w:r>
              <w:t xml:space="preserve">Opportunities</w:t>
            </w:r>
          </w:p>
        </w:tc>
        <w:tc>
          <w:tcPr>
            <w:tcW w:w="5400" w:type="dxa"/>
          </w:tcPr>
          <w:p>
            <w:r>
              <w:t xml:space="preserve">From customer evidence, list needs and pains that could move the outcome. Group them and pick the top three.</w:t>
            </w:r>
          </w:p>
        </w:tc>
      </w:tr>
      <w:tr>
        <w:tc>
          <w:tcPr>
            <w:tcW w:w="1300" w:type="dxa"/>
          </w:tcPr>
          <w:p>
            <w:r>
              <w:t xml:space="preserve">30–50</w:t>
            </w:r>
          </w:p>
        </w:tc>
        <w:tc>
          <w:tcPr>
            <w:tcW w:w="2300" w:type="dxa"/>
          </w:tcPr>
          <w:p>
            <w:r>
              <w:t xml:space="preserve">Solutions</w:t>
            </w:r>
          </w:p>
        </w:tc>
        <w:tc>
          <w:tcPr>
            <w:tcW w:w="5400" w:type="dxa"/>
          </w:tcPr>
          <w:p>
            <w:r>
              <w:t xml:space="preserve">For each opportunity, brainstorm at least two or three solutions. Compare them; don't fall for the first one.</w:t>
            </w:r>
          </w:p>
        </w:tc>
      </w:tr>
      <w:tr>
        <w:tc>
          <w:tcPr>
            <w:tcW w:w="1300" w:type="dxa"/>
          </w:tcPr>
          <w:p>
            <w:r>
              <w:t xml:space="preserve">50–65</w:t>
            </w:r>
          </w:p>
        </w:tc>
        <w:tc>
          <w:tcPr>
            <w:tcW w:w="2300" w:type="dxa"/>
          </w:tcPr>
          <w:p>
            <w:r>
              <w:t xml:space="preserve">2 · Assumption Map</w:t>
            </w:r>
          </w:p>
        </w:tc>
        <w:tc>
          <w:tcPr>
            <w:tcW w:w="5400" w:type="dxa"/>
          </w:tcPr>
          <w:p>
            <w:r>
              <w:t xml:space="preserve">For the leading solutions, write what must be true (pink). Place each by importance and evidence.</w:t>
            </w:r>
          </w:p>
        </w:tc>
      </w:tr>
      <w:tr>
        <w:tc>
          <w:tcPr>
            <w:tcW w:w="1300" w:type="dxa"/>
          </w:tcPr>
          <w:p>
            <w:r>
              <w:t xml:space="preserve">65–80</w:t>
            </w:r>
          </w:p>
        </w:tc>
        <w:tc>
          <w:tcPr>
            <w:tcW w:w="2300" w:type="dxa"/>
          </w:tcPr>
          <w:p>
            <w:r>
              <w:t xml:space="preserve">3 · Assumption Tests</w:t>
            </w:r>
          </w:p>
        </w:tc>
        <w:tc>
          <w:tcPr>
            <w:tcW w:w="5400" w:type="dxa"/>
          </w:tcPr>
          <w:p>
            <w:r>
              <w:t xml:space="preserve">For the top-right assumptions, design small tests with a clear success measure.</w:t>
            </w:r>
          </w:p>
        </w:tc>
      </w:tr>
      <w:tr>
        <w:tc>
          <w:tcPr>
            <w:tcW w:w="1300" w:type="dxa"/>
          </w:tcPr>
          <w:p>
            <w:r>
              <w:t xml:space="preserve">80–90</w:t>
            </w:r>
          </w:p>
        </w:tc>
        <w:tc>
          <w:tcPr>
            <w:tcW w:w="2300" w:type="dxa"/>
          </w:tcPr>
          <w:p>
            <w:r>
              <w:t xml:space="preserve">Close</w:t>
            </w:r>
          </w:p>
        </w:tc>
        <w:tc>
          <w:tcPr>
            <w:tcW w:w="5400" w:type="dxa"/>
          </w:tcPr>
          <w:p>
            <w:r>
              <w:t xml:space="preserve">Agree who runs which tests this week, and when the trio will update the tree.</w:t>
            </w:r>
          </w:p>
        </w:tc>
      </w:tr>
    </w:tbl>
    <w:p/>
    <w:p>
      <w:pPr>
        <w:pStyle w:val="Heading1"/>
      </w:pPr>
      <w:r>
        <w:t xml:space="preserve">Making each level strong</w:t>
      </w:r>
    </w:p>
    <w:p>
      <w:r>
        <w:t xml:space="preserve">Quality checks for each part of the tree and the map.</w:t>
      </w:r>
    </w:p>
    <w:p>
      <w:pPr>
        <w:pStyle w:val="Heading2"/>
      </w:pPr>
      <w:r>
        <w:t xml:space="preserve">Outcome</w:t>
      </w:r>
    </w:p>
    <w:p>
      <w:pPr>
        <w:pStyle w:val="ListBullet"/>
        <w:numPr>
          <w:ilvl w:val="0"/>
          <w:numId w:val="1"/>
        </w:numPr>
      </w:pPr>
      <w:r>
        <w:t xml:space="preserve">One measurable outcome</w:t>
      </w:r>
    </w:p>
    <w:p>
      <w:pPr>
        <w:pStyle w:val="ListBullet"/>
        <w:numPr>
          <w:ilvl w:val="0"/>
          <w:numId w:val="1"/>
        </w:numPr>
      </w:pPr>
      <w:r>
        <w:t xml:space="preserve">Within the team's influence</w:t>
      </w:r>
    </w:p>
    <w:p>
      <w:pPr>
        <w:pStyle w:val="Heading2"/>
      </w:pPr>
      <w:r>
        <w:t xml:space="preserve">Opportunities</w:t>
      </w:r>
    </w:p>
    <w:p>
      <w:pPr>
        <w:pStyle w:val="ListBullet"/>
        <w:numPr>
          <w:ilvl w:val="0"/>
          <w:numId w:val="1"/>
        </w:numPr>
      </w:pPr>
      <w:r>
        <w:t xml:space="preserve">From the customer's point of view</w:t>
      </w:r>
    </w:p>
    <w:p>
      <w:pPr>
        <w:pStyle w:val="ListBullet"/>
        <w:numPr>
          <w:ilvl w:val="0"/>
          <w:numId w:val="1"/>
        </w:numPr>
      </w:pPr>
      <w:r>
        <w:t xml:space="preserve">Based on evidence</w:t>
      </w:r>
    </w:p>
    <w:p>
      <w:pPr>
        <w:pStyle w:val="ListBullet"/>
        <w:numPr>
          <w:ilvl w:val="0"/>
          <w:numId w:val="1"/>
        </w:numPr>
      </w:pPr>
      <w:r>
        <w:t xml:space="preserve">Not solutions in disguise</w:t>
      </w:r>
    </w:p>
    <w:p>
      <w:pPr>
        <w:pStyle w:val="Heading2"/>
      </w:pPr>
      <w:r>
        <w:t xml:space="preserve">Solutions</w:t>
      </w:r>
    </w:p>
    <w:p>
      <w:pPr>
        <w:pStyle w:val="ListBullet"/>
        <w:numPr>
          <w:ilvl w:val="0"/>
          <w:numId w:val="1"/>
        </w:numPr>
      </w:pPr>
      <w:r>
        <w:t xml:space="preserve">Several per opportunity</w:t>
      </w:r>
    </w:p>
    <w:p>
      <w:pPr>
        <w:pStyle w:val="ListBullet"/>
        <w:numPr>
          <w:ilvl w:val="0"/>
          <w:numId w:val="1"/>
        </w:numPr>
      </w:pPr>
      <w:r>
        <w:t xml:space="preserve">Compared, not just listed</w:t>
      </w:r>
    </w:p>
    <w:p>
      <w:pPr>
        <w:pStyle w:val="Heading2"/>
      </w:pPr>
      <w:r>
        <w:t xml:space="preserve">Assumption Map</w:t>
      </w:r>
    </w:p>
    <w:p>
      <w:pPr>
        <w:pStyle w:val="ListBullet"/>
        <w:numPr>
          <w:ilvl w:val="0"/>
          <w:numId w:val="1"/>
        </w:numPr>
      </w:pPr>
      <w:r>
        <w:t xml:space="preserve">Desirable, viable, feasible, usable, ethical</w:t>
      </w:r>
    </w:p>
    <w:p>
      <w:pPr>
        <w:pStyle w:val="ListBullet"/>
        <w:numPr>
          <w:ilvl w:val="0"/>
          <w:numId w:val="1"/>
        </w:numPr>
      </w:pPr>
      <w:r>
        <w:t xml:space="preserve">Top-right tested first</w:t>
      </w:r>
    </w:p>
    <w:p>
      <w:pPr>
        <w:pStyle w:val="Heading2"/>
      </w:pPr>
      <w:r>
        <w:t xml:space="preserve">Assumption Tests</w:t>
      </w:r>
    </w:p>
    <w:p>
      <w:pPr>
        <w:pStyle w:val="ListBullet"/>
        <w:numPr>
          <w:ilvl w:val="0"/>
          <w:numId w:val="1"/>
        </w:numPr>
      </w:pPr>
      <w:r>
        <w:t xml:space="preserve">Small, fast, cheap</w:t>
      </w:r>
    </w:p>
    <w:p>
      <w:pPr>
        <w:pStyle w:val="ListBullet"/>
        <w:numPr>
          <w:ilvl w:val="0"/>
          <w:numId w:val="1"/>
        </w:numPr>
      </w:pPr>
      <w:r>
        <w:t xml:space="preserve">Success defined before running</w:t>
      </w:r>
    </w:p>
    <w:p>
      <w:pPr>
        <w:pStyle w:val="Heading1"/>
      </w:pPr>
      <w:r>
        <w:t xml:space="preserve">Facilitation tips</w:t>
      </w:r>
    </w:p>
    <w:p>
      <w:r>
        <w:rPr>
          <w:b/>
        </w:rPr>
        <w:t xml:space="preserve">Outcome, not output. </w:t>
      </w:r>
      <w:r>
        <w:t xml:space="preserve">“Increase repeat purchases” gives room to explore. “Build a loyalty scheme” doesn't.</w:t>
      </w:r>
    </w:p>
    <w:p>
      <w:r>
        <w:rPr>
          <w:b/>
        </w:rPr>
        <w:t xml:space="preserve">Opportunities are customer words. </w:t>
      </w:r>
      <w:r>
        <w:t xml:space="preserve">“I can't tell if my order shipped” is an opportunity. “Add tracking” is a solution.</w:t>
      </w:r>
    </w:p>
    <w:p>
      <w:r>
        <w:rPr>
          <w:b/>
        </w:rPr>
        <w:t xml:space="preserve">Compare and contrast. </w:t>
      </w:r>
      <w:r>
        <w:t xml:space="preserve">Exploring several solutions at once avoids falling in love with the first idea.</w:t>
      </w:r>
    </w:p>
    <w:p>
      <w:r>
        <w:rPr>
          <w:b/>
        </w:rPr>
        <w:t xml:space="preserve">Test assumptions, not ideas. </w:t>
      </w:r>
      <w:r>
        <w:t xml:space="preserve">Break each solution into what must be true, and test the riskiest part only.</w:t>
      </w:r>
    </w:p>
    <w:p>
      <w:r>
        <w:rPr>
          <w:b/>
        </w:rPr>
        <w:t xml:space="preserve">Keep it alive. </w:t>
      </w:r>
      <w:r>
        <w:t xml:space="preserve">Update the tree every week as you learn. It's a living map, not a plan.</w:t>
      </w:r>
    </w:p>
    <w:p>
      <w:r>
        <w:rPr>
          <w:b/>
        </w:rPr>
        <w:t xml:space="preserve">Talk to customers weekly. </w:t>
      </w:r>
      <w:r>
        <w:t xml:space="preserve">Regular interviews keep opportunities grounded in real evidence.</w:t>
      </w:r>
    </w:p>
    <w:p>
      <w:r>
        <w:rPr>
          <w:b/>
        </w:rPr>
        <w:t xml:space="preserve">Common pitfalls: </w:t>
      </w:r>
      <w:r>
        <w:t xml:space="preserve">an output as the outcome; opportunities that are really features; only one solution per opportunity; testing whole solutions instead of assumptions; building before testing; never updating the tree.</w:t>
      </w:r>
    </w:p>
    <w:p>
      <w:pPr>
        <w:pStyle w:val="Heading1"/>
      </w:pPr>
      <w:r>
        <w:t xml:space="preserve">After the session</w:t>
      </w:r>
    </w:p>
    <w:p>
      <w:r>
        <w:rPr>
          <w:b/>
        </w:rPr>
        <w:t xml:space="preserve">This week: </w:t>
      </w:r>
      <w:r>
        <w:t xml:space="preserve">Run the assumption tests and record results on the board.</w:t>
      </w:r>
    </w:p>
    <w:p>
      <w:r>
        <w:rPr>
          <w:b/>
        </w:rPr>
        <w:t xml:space="preserve">Each week: </w:t>
      </w:r>
      <w:r>
        <w:t xml:space="preserve">The trio updates the tree with new interviews and test results.</w:t>
      </w:r>
    </w:p>
    <w:p>
      <w:r>
        <w:rPr>
          <w:b/>
        </w:rPr>
        <w:t xml:space="preserve">When an assumption holds: </w:t>
      </w:r>
      <w:r>
        <w:t xml:space="preserve">Move the solution into delivery: Epic Canvas, Story Map and splitting.</w:t>
      </w:r>
    </w:p>
    <w:p>
      <w:r>
        <w:rPr>
          <w:b/>
        </w:rPr>
        <w:t xml:space="preserve">When it fails: </w:t>
      </w:r>
      <w:r>
        <w:t xml:space="preserve">Celebrate the learning, then try the next solution or opportunity.</w:t>
      </w:r>
    </w:p>
    <w:p>
      <w:pPr>
        <w:pStyle w:val="Heading1"/>
      </w:pPr>
      <w:r>
        <w:t xml:space="preserve">How it fits the toolkit</w:t>
      </w:r>
    </w:p>
    <w:p>
      <w:r>
        <w:t xml:space="preserve">The lifecycle tools follow the work from start to finish: a </w:t>
      </w:r>
      <w:r>
        <w:t xml:space="preserve">Team Charter</w:t>
      </w:r>
      <w:r>
        <w:t xml:space="preserve"> when a team forms, a </w:t>
      </w:r>
      <w:r>
        <w:t xml:space="preserve">Product Vision Board</w:t>
      </w:r>
      <w:r>
        <w:t xml:space="preserve"> to agree why the product exists, the </w:t>
      </w:r>
      <w:r>
        <w:t xml:space="preserve">Prioritisation Board</w:t>
      </w:r>
      <w:r>
        <w:t xml:space="preserve"> to decide what comes first, then </w:t>
      </w:r>
      <w:r>
        <w:t xml:space="preserve">Sprint Planning</w:t>
      </w:r>
      <w:r>
        <w:t xml:space="preserve"> and </w:t>
      </w:r>
      <w:r>
        <w:t xml:space="preserve">Sprint Review</w:t>
      </w:r>
      <w:r>
        <w:t xml:space="preserve"> each iteration, with a retrospective from the Retro Kit to close the loop. The break-down tools (Epic Canvas, Story Map, Story Splitting, Example Mapping) sit between vision and planning.</w:t>
      </w:r>
    </w:p>
    <w:p>
      <w:pPr>
        <w:pStyle w:val="Small"/>
      </w:pPr>
      <w:r>
        <w:t xml:space="preserve">Boards: https://eparker71.github.io/agile-ways-of-working/opportunity-solution-tree-board.html  ·  Online guide: https://eparker71.github.io/agile-ways-of-working/facilitator-guide-opportunity-solution-tree.html</w:t>
      </w:r>
    </w:p>
    <w:p>
      <w:pPr>
        <w:pStyle w:val="Small"/>
      </w:pPr>
      <w:r>
        <w:t xml:space="preserve">© 2026 Eric Parker · CC BY 4.0 · eparker71.github.io/agile-ways-of-working · Adapt it freely; please keep the credit and say what you changed.</w:t>
      </w:r>
    </w:p>
    <w:sectPr>
      <w:pgSz w:w="11906" w:h="16838"/>
      <w:pgMar w:top="1134" w:right="1134" w:bottom="1134" w:left="1134" w:header="567" w:footer="567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color w:val="1E293B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60"/>
    </w:pPr>
    <w:rPr>
      <w:rFonts w:ascii="Georgia" w:hAnsi="Georgia"/>
      <w:sz w:val="48"/>
      <w:color w:val="0C1A2E"/>
    </w:rPr>
  </w:style>
  <w:style w:type="paragraph" w:styleId="Heading1">
    <w:name w:val="heading 1"/>
    <w:basedOn w:val="Normal"/>
    <w:next w:val="Normal"/>
    <w:pPr>
      <w:keepNext/>
      <w:spacing w:before="320" w:after="100"/>
      <w:outlineLvl w:val="0"/>
    </w:pPr>
    <w:rPr>
      <w:rFonts w:ascii="Georgia" w:hAnsi="Georgia"/>
      <w:sz w:val="32"/>
      <w:color w:val="0C1A2E"/>
    </w:rPr>
  </w:style>
  <w:style w:type="paragraph" w:styleId="Heading2">
    <w:name w:val="heading 2"/>
    <w:basedOn w:val="Normal"/>
    <w:next w:val="Normal"/>
    <w:pPr>
      <w:keepNext/>
      <w:spacing w:before="200" w:after="60"/>
      <w:outlineLvl w:val="1"/>
    </w:pPr>
    <w:rPr>
      <w:b/>
      <w:sz w:val="23"/>
      <w:color w:val="9A3412"/>
    </w:rPr>
  </w:style>
  <w:style w:type="paragraph" w:styleId="Quote">
    <w:name w:val="Quote"/>
    <w:basedOn w:val="Normal"/>
    <w:pPr>
      <w:ind w:left="284"/>
      <w:pBdr>
        <w:left w:val="single" w:sz="18" w:space="8" w:color="EB6C36"/>
      </w:pBdr>
    </w:pPr>
    <w:rPr>
      <w:rFonts w:ascii="Georgia" w:hAnsi="Georgia"/>
      <w:i/>
      <w:sz w:val="26"/>
    </w:rPr>
  </w:style>
  <w:style w:type="paragraph" w:styleId="ListBullet">
    <w:name w:val="List Bullet"/>
    <w:basedOn w:val="Normal"/>
    <w:pPr>
      <w:spacing w:after="40"/>
    </w:pPr>
  </w:style>
  <w:style w:type="paragraph" w:styleId="Small">
    <w:name w:val="Small"/>
    <w:basedOn w:val="Normal"/>
    <w:rPr>
      <w:sz w:val="17"/>
      <w:color w:val="64748B"/>
    </w:rPr>
  </w:style>
  <w:style w:type="table" w:styleId="TableGrid">
    <w:name w:val="Table Grid"/>
    <w:tblPr>
      <w:tblBorders>
        <w:top w:val="single" w:sz="4" w:space="0" w:color="CBD5E1"/>
        <w:left w:val="single" w:sz="4" w:space="0" w:color="CBD5E1"/>
        <w:bottom w:val="single" w:sz="4" w:space="0" w:color="CBD5E1"/>
        <w:right w:val="single" w:sz="4" w:space="0" w:color="CBD5E1"/>
        <w:insideH w:val="single" w:sz="4" w:space="0" w:color="CBD5E1"/>
        <w:insideV w:val="single" w:sz="4" w:space="0" w:color="CBD5E1"/>
      </w:tblBorders>
      <w:tblCellMar>
        <w:top w:w="60" w:type="dxa"/>
        <w:left w:w="100" w:type="dxa"/>
        <w:bottom w:w="6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Opportunity Solution Tree Guide</dc:title>
  <dc:creator>Eric Parker</dc:creator>
</cp:coreProperties>
</file>