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Coaching Conversation Guide</w:t>
      </w:r>
    </w:p>
    <w:p>
      <w:r>
        <w:rPr>
          <w:i/>
        </w:rPr>
        <w:t xml:space="preserve">How to run a one-to-one coaching conversation with the GROW model: goal, reality, options and will.</w:t>
      </w:r>
    </w:p>
    <w:p>
      <w:pPr>
        <w:pStyle w:val="Small"/>
      </w:pPr>
      <w:r>
        <w:t xml:space="preserve">Facilitator Run-Sheet · Facilitate · GROW Model (Sir John Whitmore)</w:t>
      </w:r>
    </w:p>
    <w:p>
      <w:pPr>
        <w:pStyle w:val="Quote"/>
      </w:pPr>
      <w:r>
        <w:rPr>
          <w:i/>
        </w:rPr>
        <w:t xml:space="preserve">“What do you want to be different by the end of this conversation?”</w:t>
      </w:r>
    </w:p>
    <w:p>
      <w:r>
        <w:t xml:space="preserve">Coaching helps people find their own answers rather than being told what to do. The </w:t>
      </w:r>
      <w:r>
        <w:rPr>
          <w:b/>
        </w:rPr>
        <w:t xml:space="preserve">GROW</w:t>
      </w:r>
      <w:r>
        <w:t xml:space="preserve"> model, popularised by Sir John Whitmore in </w:t>
      </w:r>
      <w:r>
        <w:rPr>
          <w:i/>
        </w:rPr>
        <w:t xml:space="preserve">Coaching for Performance</w:t>
      </w:r>
      <w:r>
        <w:t xml:space="preserve">, gives a one-to-one conversation a simple shape: agree the </w:t>
      </w:r>
      <w:r>
        <w:rPr>
          <w:b/>
        </w:rPr>
        <w:t xml:space="preserve">Goal</w:t>
      </w:r>
      <w:r>
        <w:t xml:space="preserve">, explore the current </w:t>
      </w:r>
      <w:r>
        <w:rPr>
          <w:b/>
        </w:rPr>
        <w:t xml:space="preserve">Reality</w:t>
      </w:r>
      <w:r>
        <w:t xml:space="preserve">, generate </w:t>
      </w:r>
      <w:r>
        <w:rPr>
          <w:b/>
        </w:rPr>
        <w:t xml:space="preserve">Options</w:t>
      </w:r>
      <w:r>
        <w:t xml:space="preserve">, and finish with the coachee's </w:t>
      </w:r>
      <w:r>
        <w:rPr>
          <w:b/>
        </w:rPr>
        <w:t xml:space="preserve">Will</w:t>
      </w:r>
      <w:r>
        <w:t xml:space="preserve">, their committed next steps. The canvas starts with a short contract and ends with the coach's own reflection. Scrum Masters, agile coaches, managers and mentors can all use it.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30–60 min</w:t>
            </w:r>
          </w:p>
        </w:tc>
        <w:tc>
          <w:tcPr>
            <w:tcW w:w="2250" w:type="dxa"/>
          </w:tcPr>
          <w:p>
            <w:r>
              <w:t xml:space="preserve">One coach,</w:t>
            </w:r>
            <w:r>
              <w:br/>
            </w:r>
            <w:r>
              <w:t xml:space="preserve">one coachee</w:t>
            </w:r>
          </w:p>
        </w:tc>
        <w:tc>
          <w:tcPr>
            <w:tcW w:w="2250" w:type="dxa"/>
          </w:tcPr>
          <w:p>
            <w:r>
              <w:t xml:space="preserve">1:1s, career talks,</w:t>
            </w:r>
            <w:r>
              <w:br/>
            </w:r>
            <w:r>
              <w:t xml:space="preserve">stuck problems</w:t>
            </w:r>
          </w:p>
        </w:tc>
        <w:tc>
          <w:tcPr>
            <w:tcW w:w="2250" w:type="dxa"/>
          </w:tcPr>
          <w:p>
            <w:r>
              <w:t xml:space="preserve">The coachee's own</w:t>
            </w:r>
            <w:r>
              <w:br/>
            </w:r>
            <w:r>
              <w:t xml:space="preserve">commitments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canvas at A3, or use it on screen; the coachee can keep it afterwards</w:t>
      </w:r>
    </w:p>
    <w:p>
      <w:pPr>
        <w:pStyle w:val="ListBullet"/>
        <w:numPr>
          <w:ilvl w:val="0"/>
          <w:numId w:val="1"/>
        </w:numPr>
      </w:pPr>
      <w:r>
        <w:t xml:space="preserve">Book a private space and enough uninterrupted time</w:t>
      </w:r>
    </w:p>
    <w:p>
      <w:pPr>
        <w:pStyle w:val="ListBullet"/>
        <w:numPr>
          <w:ilvl w:val="0"/>
          <w:numId w:val="1"/>
        </w:numPr>
      </w:pPr>
      <w:r>
        <w:t xml:space="preserve">Agree in advance that this is coaching, not a performance review</w:t>
      </w:r>
    </w:p>
    <w:p>
      <w:pPr>
        <w:pStyle w:val="ListBullet"/>
        <w:numPr>
          <w:ilvl w:val="0"/>
          <w:numId w:val="1"/>
        </w:numPr>
      </w:pPr>
      <w:r>
        <w:t xml:space="preserve">Clear your head: plan to ask more than you tell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0–5</w:t>
            </w:r>
          </w:p>
        </w:tc>
        <w:tc>
          <w:tcPr>
            <w:tcW w:w="2300" w:type="dxa"/>
          </w:tcPr>
          <w:p>
            <w:r>
              <w:t xml:space="preserve">1 · Contract</w:t>
            </w:r>
          </w:p>
        </w:tc>
        <w:tc>
          <w:tcPr>
            <w:tcW w:w="5400" w:type="dxa"/>
          </w:tcPr>
          <w:p>
            <w:r>
              <w:t xml:space="preserve">Ask what they want from the conversation. Agree confidentiality and how long you have.</w:t>
            </w:r>
          </w:p>
        </w:tc>
      </w:tr>
      <w:tr>
        <w:tc>
          <w:tcPr>
            <w:tcW w:w="1300" w:type="dxa"/>
          </w:tcPr>
          <w:p>
            <w:r>
              <w:t xml:space="preserve">5–15</w:t>
            </w:r>
          </w:p>
        </w:tc>
        <w:tc>
          <w:tcPr>
            <w:tcW w:w="2300" w:type="dxa"/>
          </w:tcPr>
          <w:p>
            <w:r>
              <w:t xml:space="preserve">2 · Goal</w:t>
            </w:r>
          </w:p>
        </w:tc>
        <w:tc>
          <w:tcPr>
            <w:tcW w:w="5400" w:type="dxa"/>
          </w:tcPr>
          <w:p>
            <w:r>
              <w:t xml:space="preserve">Help them describe what they want and what success looks like. Make it specific.</w:t>
            </w:r>
          </w:p>
        </w:tc>
      </w:tr>
      <w:tr>
        <w:tc>
          <w:tcPr>
            <w:tcW w:w="1300" w:type="dxa"/>
          </w:tcPr>
          <w:p>
            <w:r>
              <w:t xml:space="preserve">15–30</w:t>
            </w:r>
          </w:p>
        </w:tc>
        <w:tc>
          <w:tcPr>
            <w:tcW w:w="2300" w:type="dxa"/>
          </w:tcPr>
          <w:p>
            <w:r>
              <w:t xml:space="preserve">3 · Reality</w:t>
            </w:r>
          </w:p>
        </w:tc>
        <w:tc>
          <w:tcPr>
            <w:tcW w:w="5400" w:type="dxa"/>
          </w:tcPr>
          <w:p>
            <w:r>
              <w:t xml:space="preserve">Explore what's happening now, what they've tried, and what's in their control. Listen more than talk.</w:t>
            </w:r>
          </w:p>
        </w:tc>
      </w:tr>
      <w:tr>
        <w:tc>
          <w:tcPr>
            <w:tcW w:w="1300" w:type="dxa"/>
          </w:tcPr>
          <w:p>
            <w:r>
              <w:t xml:space="preserve">30–45</w:t>
            </w:r>
          </w:p>
        </w:tc>
        <w:tc>
          <w:tcPr>
            <w:tcW w:w="2300" w:type="dxa"/>
          </w:tcPr>
          <w:p>
            <w:r>
              <w:t xml:space="preserve">4 · Options</w:t>
            </w:r>
          </w:p>
        </w:tc>
        <w:tc>
          <w:tcPr>
            <w:tcW w:w="5400" w:type="dxa"/>
          </w:tcPr>
          <w:p>
            <w:r>
              <w:t xml:space="preserve">Generate many options. Keep asking “what else?” Hold back your own ideas, or offer them last.</w:t>
            </w:r>
          </w:p>
        </w:tc>
      </w:tr>
      <w:tr>
        <w:tc>
          <w:tcPr>
            <w:tcW w:w="1300" w:type="dxa"/>
          </w:tcPr>
          <w:p>
            <w:r>
              <w:t xml:space="preserve">45–55</w:t>
            </w:r>
          </w:p>
        </w:tc>
        <w:tc>
          <w:tcPr>
            <w:tcW w:w="2300" w:type="dxa"/>
          </w:tcPr>
          <w:p>
            <w:r>
              <w:t xml:space="preserve">5 · Will</w:t>
            </w:r>
          </w:p>
        </w:tc>
        <w:tc>
          <w:tcPr>
            <w:tcW w:w="5400" w:type="dxa"/>
          </w:tcPr>
          <w:p>
            <w:r>
              <w:t xml:space="preserve">Ask which option they'll take, the first step, what might stop them, and how committed they are.</w:t>
            </w:r>
          </w:p>
        </w:tc>
      </w:tr>
      <w:tr>
        <w:tc>
          <w:tcPr>
            <w:tcW w:w="1300" w:type="dxa"/>
          </w:tcPr>
          <w:p>
            <w:r>
              <w:t xml:space="preserve">55–60</w:t>
            </w:r>
          </w:p>
        </w:tc>
        <w:tc>
          <w:tcPr>
            <w:tcW w:w="2300" w:type="dxa"/>
          </w:tcPr>
          <w:p>
            <w:r>
              <w:t xml:space="preserve">6 · Commitments · 7 · Reflection</w:t>
            </w:r>
          </w:p>
        </w:tc>
        <w:tc>
          <w:tcPr>
            <w:tcW w:w="5400" w:type="dxa"/>
          </w:tcPr>
          <w:p>
            <w:r>
              <w:t xml:space="preserve">They write the commitments in their own words. Afterwards, reflect on your coaching.</w:t>
            </w:r>
          </w:p>
        </w:tc>
      </w:tr>
    </w:tbl>
    <w:p/>
    <w:p>
      <w:pPr>
        <w:pStyle w:val="Heading1"/>
      </w:pPr>
      <w:r>
        <w:t xml:space="preserve">Using each stage well</w:t>
      </w:r>
    </w:p>
    <w:p>
      <w:r>
        <w:t xml:space="preserve">What to aim for in each part of the conversation.</w:t>
      </w:r>
    </w:p>
    <w:p>
      <w:pPr>
        <w:pStyle w:val="Heading2"/>
      </w:pPr>
      <w:r>
        <w:t xml:space="preserve">Goal</w:t>
      </w:r>
    </w:p>
    <w:p>
      <w:pPr>
        <w:pStyle w:val="ListBullet"/>
        <w:numPr>
          <w:ilvl w:val="0"/>
          <w:numId w:val="1"/>
        </w:numPr>
      </w:pPr>
      <w:r>
        <w:t xml:space="preserve">Their goal, not yours</w:t>
      </w:r>
    </w:p>
    <w:p>
      <w:pPr>
        <w:pStyle w:val="ListBullet"/>
        <w:numPr>
          <w:ilvl w:val="0"/>
          <w:numId w:val="1"/>
        </w:numPr>
      </w:pPr>
      <w:r>
        <w:t xml:space="preserve">Specific and meaningful</w:t>
      </w:r>
    </w:p>
    <w:p>
      <w:pPr>
        <w:pStyle w:val="Heading2"/>
      </w:pPr>
      <w:r>
        <w:t xml:space="preserve">Reality</w:t>
      </w:r>
    </w:p>
    <w:p>
      <w:pPr>
        <w:pStyle w:val="ListBullet"/>
        <w:numPr>
          <w:ilvl w:val="0"/>
          <w:numId w:val="1"/>
        </w:numPr>
      </w:pPr>
      <w:r>
        <w:t xml:space="preserve">Facts and feelings</w:t>
      </w:r>
    </w:p>
    <w:p>
      <w:pPr>
        <w:pStyle w:val="ListBullet"/>
        <w:numPr>
          <w:ilvl w:val="0"/>
          <w:numId w:val="1"/>
        </w:numPr>
      </w:pPr>
      <w:r>
        <w:t xml:space="preserve">What they control</w:t>
      </w:r>
    </w:p>
    <w:p>
      <w:pPr>
        <w:pStyle w:val="Heading2"/>
      </w:pPr>
      <w:r>
        <w:t xml:space="preserve">Options</w:t>
      </w:r>
    </w:p>
    <w:p>
      <w:pPr>
        <w:pStyle w:val="ListBullet"/>
        <w:numPr>
          <w:ilvl w:val="0"/>
          <w:numId w:val="1"/>
        </w:numPr>
      </w:pPr>
      <w:r>
        <w:t xml:space="preserve">Quantity before quality</w:t>
      </w:r>
    </w:p>
    <w:p>
      <w:pPr>
        <w:pStyle w:val="ListBullet"/>
        <w:numPr>
          <w:ilvl w:val="0"/>
          <w:numId w:val="1"/>
        </w:numPr>
      </w:pPr>
      <w:r>
        <w:t xml:space="preserve">Their ideas first</w:t>
      </w:r>
    </w:p>
    <w:p>
      <w:pPr>
        <w:pStyle w:val="Heading2"/>
      </w:pPr>
      <w:r>
        <w:t xml:space="preserve">Will</w:t>
      </w:r>
    </w:p>
    <w:p>
      <w:pPr>
        <w:pStyle w:val="ListBullet"/>
        <w:numPr>
          <w:ilvl w:val="0"/>
          <w:numId w:val="1"/>
        </w:numPr>
      </w:pPr>
      <w:r>
        <w:t xml:space="preserve">A first step and a date</w:t>
      </w:r>
    </w:p>
    <w:p>
      <w:pPr>
        <w:pStyle w:val="ListBullet"/>
        <w:numPr>
          <w:ilvl w:val="0"/>
          <w:numId w:val="1"/>
        </w:numPr>
      </w:pPr>
      <w:r>
        <w:t xml:space="preserve">Commitment 1–10</w:t>
      </w:r>
    </w:p>
    <w:p>
      <w:pPr>
        <w:pStyle w:val="Heading2"/>
      </w:pPr>
      <w:r>
        <w:t xml:space="preserve">Coach's Reflection</w:t>
      </w:r>
    </w:p>
    <w:p>
      <w:pPr>
        <w:pStyle w:val="ListBullet"/>
        <w:numPr>
          <w:ilvl w:val="0"/>
          <w:numId w:val="1"/>
        </w:numPr>
      </w:pPr>
      <w:r>
        <w:t xml:space="preserve">Did I ask or tell?</w:t>
      </w:r>
    </w:p>
    <w:p>
      <w:pPr>
        <w:pStyle w:val="ListBullet"/>
        <w:numPr>
          <w:ilvl w:val="0"/>
          <w:numId w:val="1"/>
        </w:numPr>
      </w:pPr>
      <w:r>
        <w:t xml:space="preserve">What will I follow up?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Ask, then wait. </w:t>
      </w:r>
      <w:r>
        <w:t xml:space="preserve">Silence gives people room to think. Count to five before you speak.</w:t>
      </w:r>
    </w:p>
    <w:p>
      <w:r>
        <w:rPr>
          <w:b/>
        </w:rPr>
        <w:t xml:space="preserve">Open questions. </w:t>
      </w:r>
      <w:r>
        <w:t xml:space="preserve">Start with what, how and who. “Why” can sound like judgement; use it gently.</w:t>
      </w:r>
    </w:p>
    <w:p>
      <w:r>
        <w:rPr>
          <w:b/>
        </w:rPr>
        <w:t xml:space="preserve">Their words. </w:t>
      </w:r>
      <w:r>
        <w:t xml:space="preserve">Write commitments in the coachee's words, not your summary.</w:t>
      </w:r>
    </w:p>
    <w:p>
      <w:r>
        <w:rPr>
          <w:b/>
        </w:rPr>
        <w:t xml:space="preserve">Loop back. </w:t>
      </w:r>
      <w:r>
        <w:t xml:space="preserve">If options stall, return to Reality or Goal. GROW isn't strictly one-way.</w:t>
      </w:r>
    </w:p>
    <w:p>
      <w:r>
        <w:rPr>
          <w:b/>
        </w:rPr>
        <w:t xml:space="preserve">Low commitment is useful. </w:t>
      </w:r>
      <w:r>
        <w:t xml:space="preserve">If they say 5 out of 10, ask what would make it an 8.</w:t>
      </w:r>
    </w:p>
    <w:p>
      <w:r>
        <w:rPr>
          <w:b/>
        </w:rPr>
        <w:t xml:space="preserve">Follow up. </w:t>
      </w:r>
      <w:r>
        <w:t xml:space="preserve">Start the next conversation by asking how the commitments went.</w:t>
      </w:r>
    </w:p>
    <w:p>
      <w:r>
        <w:rPr>
          <w:b/>
        </w:rPr>
        <w:t xml:space="preserve">Common pitfalls: </w:t>
      </w:r>
      <w:r>
        <w:t xml:space="preserve">giving advice too early; turning it into a status update; setting the goal for them; leading questions; running out of time before Will; no follow-up.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Give the coachee the canvas or a photo of it.</w:t>
      </w:r>
    </w:p>
    <w:p>
      <w:r>
        <w:rPr>
          <w:b/>
        </w:rPr>
        <w:t xml:space="preserve">Before the next one: </w:t>
      </w:r>
      <w:r>
        <w:t xml:space="preserve">Read your reflection notes and the commitments.</w:t>
      </w:r>
    </w:p>
    <w:p>
      <w:r>
        <w:rPr>
          <w:b/>
        </w:rPr>
        <w:t xml:space="preserve">Next conversation: </w:t>
      </w:r>
      <w:r>
        <w:t xml:space="preserve">Start with the commitments: what happened, what did you learn?</w:t>
      </w:r>
    </w:p>
    <w:p>
      <w:r>
        <w:rPr>
          <w:b/>
        </w:rPr>
        <w:t xml:space="preserve">For yourself: </w:t>
      </w:r>
      <w:r>
        <w:t xml:space="preserve">Ask for feedback on your coaching every few sessions.</w:t>
      </w:r>
    </w:p>
    <w:p>
      <w:pPr>
        <w:pStyle w:val="Heading1"/>
      </w:pPr>
      <w:r>
        <w:t xml:space="preserve">How it fits the toolkit</w:t>
      </w:r>
    </w:p>
    <w:p>
      <w:r>
        <w:t xml:space="preserve">Coaching conversations connect to the rest of the toolkit: use the </w:t>
      </w:r>
      <w:r>
        <w:t xml:space="preserve">Scrum Master &amp; Agile Coach Cheat Sheet</w:t>
      </w:r>
      <w:r>
        <w:t xml:space="preserve"> for coaching stances and powerful questions, the </w:t>
      </w:r>
      <w:r>
        <w:t xml:space="preserve">Skills Matrix</w:t>
      </w:r>
      <w:r>
        <w:t xml:space="preserve"> for learning goals, and </w:t>
      </w:r>
      <w:r>
        <w:t xml:space="preserve">ADKAR</w:t>
      </w:r>
      <w:r>
        <w:t xml:space="preserve"> when the topic is a change someone is going through.</w:t>
      </w:r>
    </w:p>
    <w:p>
      <w:pPr>
        <w:pStyle w:val="Small"/>
      </w:pPr>
      <w:r>
        <w:t xml:space="preserve">Boards: https://eparker71.github.io/agile-ways-of-working/coaching-conversation-board.html  ·  Online guide: https://eparker71.github.io/agile-ways-of-working/facilitator-guide-coaching-conversation.html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Coaching Conversation Guide</dc:title>
  <dc:creator>Eric Parker</dc:creator>
</cp:coreProperties>
</file>