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Mad · Sad · Glad Guide</w:t>
      </w:r>
    </w:p>
    <w:p>
      <w:r>
        <w:rPr>
          <w:i/>
        </w:rPr>
        <w:t xml:space="preserve">How to run an emotion-focused retrospective,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“What's behind the strongest feelings on this board?”</w:t>
      </w:r>
    </w:p>
    <w:p>
      <w:r>
        <w:t xml:space="preserve">Mad · Sad · Glad surfaces how the work </w:t>
      </w:r>
      <w:r>
        <w:t xml:space="preserve">felt</w:t>
      </w:r>
      <w:r>
        <w:t xml:space="preserve">, which often reveals issues that a process-focused retro misses. It suits teams after a stressful period, teams where morale is uncertain, and anyone wanting to build empathy. It needs a safe room more than most formats.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3–10 people</w:t>
            </w:r>
          </w:p>
        </w:tc>
        <w:tc>
          <w:tcPr>
            <w:tcW w:w="2250" w:type="dxa"/>
          </w:tcPr>
          <w:p>
            <w:r>
              <w:t xml:space="preserve">Morale &amp; hidden</w:t>
            </w:r>
            <w:r>
              <w:br/>
            </w:r>
            <w:r>
              <w:t xml:space="preserve">frustrations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with owners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into Miro / Mural / FigJam. Write the period on the actions strip (sprint, month or quarter); allow about 60 min for a sprint and 2 h for a quarter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ListBullet"/>
        <w:numPr>
          <w:ilvl w:val="0"/>
          <w:numId w:val="1"/>
        </w:numPr>
      </w:pPr>
      <w:r>
        <w:t xml:space="preserve">Think about safety: is this the right format right now? Is anyone likely to feel exposed?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5–15</w:t>
            </w:r>
          </w:p>
        </w:tc>
        <w:tc>
          <w:tcPr>
            <w:tcW w:w="2250" w:type="dxa"/>
          </w:tcPr>
          <w:p>
            <w:r>
              <w:t xml:space="preserve">10–30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in each column. Remind people that feelings are valid data and that we're discussing events, not people.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Start with Glad to build energy, then explore Mad and Sad. Ask “What would turn this into a Glad?”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column</w:t>
      </w:r>
    </w:p>
    <w:p>
      <w:r>
        <w:t xml:space="preserve">Read these out if a column stays empty.</w:t>
      </w:r>
    </w:p>
    <w:p>
      <w:pPr>
        <w:pStyle w:val="Heading2"/>
      </w:pPr>
      <w:r>
        <w:t xml:space="preserve">1 · Mad</w:t>
      </w:r>
    </w:p>
    <w:p>
      <w:pPr>
        <w:pStyle w:val="ListBullet"/>
        <w:numPr>
          <w:ilvl w:val="0"/>
          <w:numId w:val="1"/>
        </w:numPr>
      </w:pPr>
      <w:r>
        <w:t xml:space="preserve">What frustrated us again and again?</w:t>
      </w:r>
    </w:p>
    <w:p>
      <w:pPr>
        <w:pStyle w:val="ListBullet"/>
        <w:numPr>
          <w:ilvl w:val="0"/>
          <w:numId w:val="1"/>
        </w:numPr>
      </w:pPr>
      <w:r>
        <w:t xml:space="preserve">What felt unfair or outside our control?</w:t>
      </w:r>
    </w:p>
    <w:p>
      <w:pPr>
        <w:pStyle w:val="ListBullet"/>
        <w:numPr>
          <w:ilvl w:val="0"/>
          <w:numId w:val="1"/>
        </w:numPr>
      </w:pPr>
      <w:r>
        <w:t xml:space="preserve">When did we feel stuck?</w:t>
      </w:r>
    </w:p>
    <w:p>
      <w:pPr>
        <w:pStyle w:val="Heading2"/>
      </w:pPr>
      <w:r>
        <w:t xml:space="preserve">2 · Sad</w:t>
      </w:r>
    </w:p>
    <w:p>
      <w:pPr>
        <w:pStyle w:val="ListBullet"/>
        <w:numPr>
          <w:ilvl w:val="0"/>
          <w:numId w:val="1"/>
        </w:numPr>
      </w:pPr>
      <w:r>
        <w:t xml:space="preserve">What didn't go to plan?</w:t>
      </w:r>
    </w:p>
    <w:p>
      <w:pPr>
        <w:pStyle w:val="ListBullet"/>
        <w:numPr>
          <w:ilvl w:val="0"/>
          <w:numId w:val="1"/>
        </w:numPr>
      </w:pPr>
      <w:r>
        <w:t xml:space="preserve">What opportunity did we miss?</w:t>
      </w:r>
    </w:p>
    <w:p>
      <w:pPr>
        <w:pStyle w:val="ListBullet"/>
        <w:numPr>
          <w:ilvl w:val="0"/>
          <w:numId w:val="1"/>
        </w:numPr>
      </w:pPr>
      <w:r>
        <w:t xml:space="preserve">What expectation wasn't met?</w:t>
      </w:r>
    </w:p>
    <w:p>
      <w:pPr>
        <w:pStyle w:val="Heading2"/>
      </w:pPr>
      <w:r>
        <w:t xml:space="preserve">3 · Glad</w:t>
      </w:r>
    </w:p>
    <w:p>
      <w:pPr>
        <w:pStyle w:val="ListBullet"/>
        <w:numPr>
          <w:ilvl w:val="0"/>
          <w:numId w:val="1"/>
        </w:numPr>
      </w:pPr>
      <w:r>
        <w:t xml:space="preserve">What are we proud of?</w:t>
      </w:r>
    </w:p>
    <w:p>
      <w:pPr>
        <w:pStyle w:val="ListBullet"/>
        <w:numPr>
          <w:ilvl w:val="0"/>
          <w:numId w:val="1"/>
        </w:numPr>
      </w:pPr>
      <w:r>
        <w:t xml:space="preserve">Who should we thank?</w:t>
      </w:r>
    </w:p>
    <w:p>
      <w:pPr>
        <w:pStyle w:val="ListBullet"/>
        <w:numPr>
          <w:ilvl w:val="0"/>
          <w:numId w:val="1"/>
        </w:numPr>
      </w:pPr>
      <w:r>
        <w:t xml:space="preserve">What made us smile?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Target the root cause of the strongest Mad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Name the emotion, discuss the event. </w:t>
      </w:r>
      <w:r>
        <w:t xml:space="preserve">Feelings are a signal. Ask what happened that caused them, and keep it about events, not people.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 This format also invites venting. Make sure the conversation moves to causes and actions.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https://eparker71.github.io/agile-ways-of-working/retro-board-mad-sad-glad.html  ·  Online guide: https://eparker71.github.io/agile-ways-of-working/facilitator-guide-retro-mad-sad-glad.html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Mad · Sad · Glad Guide</dc:title>
  <dc:creator>Eric Parker</dc:creator>
</cp:coreProperties>
</file>