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Delivery Approach Guide</w:t>
      </w:r>
    </w:p>
    <w:p>
      <w:r>
        <w:rPr>
          <w:i/>
        </w:rPr>
        <w:t xml:space="preserve">How to choose a predictive, agile or hybrid approach for each part of a project, and connect the parts.</w:t>
      </w:r>
    </w:p>
    <w:p>
      <w:pPr>
        <w:pStyle w:val="Small"/>
      </w:pPr>
      <w:r>
        <w:t xml:space="preserve">Facilitator Run-Sheet · Run a Project · Predictive · Agile · Hybrid · Tailoring</w:t>
      </w:r>
    </w:p>
    <w:p>
      <w:pPr>
        <w:pStyle w:val="Quote"/>
      </w:pPr>
      <w:r>
        <w:rPr>
          <w:i/>
        </w:rPr>
        <w:t xml:space="preserve">“Which parts of this work will we only understand by doing them?”</w:t>
      </w:r>
    </w:p>
    <w:p>
      <w:r>
        <w:t xml:space="preserve">Not every project, or every part of one, suits the same approach. A </w:t>
      </w:r>
      <w:r>
        <w:rPr>
          <w:b/>
        </w:rPr>
        <w:t xml:space="preserve">predictive</w:t>
      </w:r>
      <w:r>
        <w:t xml:space="preserve"> approach plans and designs up front and controls change; it suits work that is well understood and costly to change. An </w:t>
      </w:r>
      <w:r>
        <w:rPr>
          <w:b/>
        </w:rPr>
        <w:t xml:space="preserve">agile</w:t>
      </w:r>
      <w:r>
        <w:t xml:space="preserve"> approach delivers in short iterations and learns as it goes; it suits work where requirements will change and value can arrive in small pieces. Most real projects are </w:t>
      </w:r>
      <w:r>
        <w:rPr>
          <w:b/>
        </w:rPr>
        <w:t xml:space="preserve">hybrid</w:t>
      </w:r>
      <w:r>
        <w:t xml:space="preserve">: a regulated payments change and a new customer app can sit side by side. Choosing deliberately is what PMI calls </w:t>
      </w:r>
      <w:r>
        <w:rPr>
          <w:b/>
        </w:rPr>
        <w:t xml:space="preserve">tailoring</w:t>
      </w:r>
      <w:r>
        <w:t xml:space="preserve">. The board's suitability check is written in our own words but inspired by the suitability filter in the </w:t>
      </w:r>
      <w:r>
        <w:rPr>
          <w:i/>
        </w:rPr>
        <w:t xml:space="preserve">Agile Practice Guide</w:t>
      </w:r>
      <w:r>
        <w:t xml:space="preserve">, published by PMI and the Agile Alliance, and it scores the culture, the team and the project. Then you choose an approach for each work stream and agree how the parts connect. PMI® is a registered trademark of Project Management Institute, Inc.</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p>
        </w:tc>
        <w:tc>
          <w:tcPr>
            <w:tcW w:w="2250" w:type="dxa"/>
          </w:tcPr>
          <w:p>
            <w:r>
              <w:t xml:space="preserve">Sponsor, project lead,</w:t>
            </w:r>
            <w:r>
              <w:br/>
            </w:r>
            <w:r>
              <w:t xml:space="preserve">team leads</w:t>
            </w:r>
          </w:p>
        </w:tc>
        <w:tc>
          <w:tcPr>
            <w:tcW w:w="2250" w:type="dxa"/>
          </w:tcPr>
          <w:p>
            <w:r>
              <w:t xml:space="preserve">Starting a project,</w:t>
            </w:r>
            <w:r>
              <w:br/>
            </w:r>
            <w:r>
              <w:t xml:space="preserve">or it's struggling</w:t>
            </w:r>
          </w:p>
        </w:tc>
        <w:tc>
          <w:tcPr>
            <w:tcW w:w="2250" w:type="dxa"/>
          </w:tcPr>
          <w:p>
            <w:r>
              <w:t xml:space="preserve">An approach per part</w:t>
            </w:r>
            <w:r>
              <w:br/>
            </w:r>
            <w:r>
              <w:t xml:space="preserve">&amp; how they connect</w:t>
            </w:r>
          </w:p>
        </w:tc>
      </w:tr>
    </w:tbl>
    <w:p/>
    <w:p>
      <w:pPr>
        <w:pStyle w:val="Heading1"/>
      </w:pPr>
      <w:r>
        <w:t xml:space="preserve">Before the session</w:t>
      </w:r>
    </w:p>
    <w:p>
      <w:pPr>
        <w:pStyle w:val="ListBullet"/>
        <w:numPr>
          <w:ilvl w:val="0"/>
          <w:numId w:val="1"/>
        </w:numPr>
      </w:pPr>
      <w:r>
        <w:t xml:space="preserve">Print the board at A3 or 11×17, or share it on screen</w:t>
      </w:r>
    </w:p>
    <w:p>
      <w:pPr>
        <w:pStyle w:val="ListBullet"/>
        <w:numPr>
          <w:ilvl w:val="0"/>
          <w:numId w:val="1"/>
        </w:numPr>
      </w:pPr>
      <w:r>
        <w:t xml:space="preserve">Bring the project brief, and a rough list of its main parts or work streams</w:t>
      </w:r>
    </w:p>
    <w:p>
      <w:pPr>
        <w:pStyle w:val="ListBullet"/>
        <w:numPr>
          <w:ilvl w:val="0"/>
          <w:numId w:val="1"/>
        </w:numPr>
      </w:pPr>
      <w:r>
        <w:t xml:space="preserve">Invite people who see the work differently: sponsor, delivery, a team member, governance</w:t>
      </w:r>
    </w:p>
    <w:p>
      <w:pPr>
        <w:pStyle w:val="ListBullet"/>
        <w:numPr>
          <w:ilvl w:val="0"/>
          <w:numId w:val="1"/>
        </w:numPr>
      </w:pPr>
      <w:r>
        <w:t xml:space="preserve">Ask each person to score the ten factors privately first, to avoid anchoring</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Why choose</w:t>
            </w:r>
          </w:p>
        </w:tc>
        <w:tc>
          <w:tcPr>
            <w:tcW w:w="5400" w:type="dxa"/>
          </w:tcPr>
          <w:p>
            <w:r>
              <w:t xml:space="preserve">Explain the three approaches, and that hybrid is normal, not a compromise.</w:t>
            </w:r>
          </w:p>
        </w:tc>
      </w:tr>
      <w:tr>
        <w:tc>
          <w:tcPr>
            <w:tcW w:w="1300" w:type="dxa"/>
          </w:tcPr>
          <w:p>
            <w:r>
              <w:t xml:space="preserve">5–25</w:t>
            </w:r>
          </w:p>
        </w:tc>
        <w:tc>
          <w:tcPr>
            <w:tcW w:w="2300" w:type="dxa"/>
          </w:tcPr>
          <w:p>
            <w:r>
              <w:t xml:space="preserve">Suitability check</w:t>
            </w:r>
          </w:p>
        </w:tc>
        <w:tc>
          <w:tcPr>
            <w:tcW w:w="5400" w:type="dxa"/>
          </w:tcPr>
          <w:p>
            <w:r>
              <w:t xml:space="preserve">Reveal private scores row by row. Discuss the rows where people differ most.</w:t>
            </w:r>
          </w:p>
        </w:tc>
      </w:tr>
      <w:tr>
        <w:tc>
          <w:tcPr>
            <w:tcW w:w="1300" w:type="dxa"/>
          </w:tcPr>
          <w:p>
            <w:r>
              <w:t xml:space="preserve">25–35</w:t>
            </w:r>
          </w:p>
        </w:tc>
        <w:tc>
          <w:tcPr>
            <w:tcW w:w="2300" w:type="dxa"/>
          </w:tcPr>
          <w:p>
            <w:r>
              <w:t xml:space="preserve">Read the score</w:t>
            </w:r>
          </w:p>
        </w:tc>
        <w:tc>
          <w:tcPr>
            <w:tcW w:w="5400" w:type="dxa"/>
          </w:tcPr>
          <w:p>
            <w:r>
              <w:t xml:space="preserve">Total it, but look at the pattern: which rows pull in which direction?</w:t>
            </w:r>
          </w:p>
        </w:tc>
      </w:tr>
      <w:tr>
        <w:tc>
          <w:tcPr>
            <w:tcW w:w="1300" w:type="dxa"/>
          </w:tcPr>
          <w:p>
            <w:r>
              <w:t xml:space="preserve">35–50</w:t>
            </w:r>
          </w:p>
        </w:tc>
        <w:tc>
          <w:tcPr>
            <w:tcW w:w="2300" w:type="dxa"/>
          </w:tcPr>
          <w:p>
            <w:r>
              <w:t xml:space="preserve">Work streams</w:t>
            </w:r>
          </w:p>
        </w:tc>
        <w:tc>
          <w:tcPr>
            <w:tcW w:w="5400" w:type="dxa"/>
          </w:tcPr>
          <w:p>
            <w:r>
              <w:t xml:space="preserve">Split the project into parts. Choose an approach for each, and say why.</w:t>
            </w:r>
          </w:p>
        </w:tc>
      </w:tr>
      <w:tr>
        <w:tc>
          <w:tcPr>
            <w:tcW w:w="1300" w:type="dxa"/>
          </w:tcPr>
          <w:p>
            <w:r>
              <w:t xml:space="preserve">50–60</w:t>
            </w:r>
          </w:p>
        </w:tc>
        <w:tc>
          <w:tcPr>
            <w:tcW w:w="2300" w:type="dxa"/>
          </w:tcPr>
          <w:p>
            <w:r>
              <w:t xml:space="preserve">Connect the parts</w:t>
            </w:r>
          </w:p>
        </w:tc>
        <w:tc>
          <w:tcPr>
            <w:tcW w:w="5400" w:type="dxa"/>
          </w:tcPr>
          <w:p>
            <w:r>
              <w:t xml:space="preserve">Agree shared milestones, gates and their evidence, the reporting rhythm, and a date to revisit.</w:t>
            </w:r>
          </w:p>
        </w:tc>
      </w:tr>
    </w:tbl>
    <w:p/>
    <w:p>
      <w:pPr>
        <w:pStyle w:val="Heading1"/>
      </w:pPr>
      <w:r>
        <w:t xml:space="preserve">The three approaches</w:t>
      </w:r>
    </w:p>
    <w:p>
      <w:r>
        <w:t xml:space="preserve">An approach per part of the work, not one label for everything.</w:t>
      </w:r>
    </w:p>
    <w:p>
      <w:pPr>
        <w:pStyle w:val="Heading2"/>
      </w:pPr>
      <w:r>
        <w:t xml:space="preserve">Agile</w:t>
      </w:r>
    </w:p>
    <w:p>
      <w:pPr>
        <w:pStyle w:val="ListBullet"/>
        <w:numPr>
          <w:ilvl w:val="0"/>
          <w:numId w:val="1"/>
        </w:numPr>
      </w:pPr>
      <w:r>
        <w:t xml:space="preserve">Short iterations</w:t>
      </w:r>
    </w:p>
    <w:p>
      <w:pPr>
        <w:pStyle w:val="ListBullet"/>
        <w:numPr>
          <w:ilvl w:val="0"/>
          <w:numId w:val="1"/>
        </w:numPr>
      </w:pPr>
      <w:r>
        <w:t xml:space="preserve">Learn and adapt</w:t>
      </w:r>
    </w:p>
    <w:p>
      <w:pPr>
        <w:pStyle w:val="Heading2"/>
      </w:pPr>
      <w:r>
        <w:t xml:space="preserve">Hybrid</w:t>
      </w:r>
    </w:p>
    <w:p>
      <w:pPr>
        <w:pStyle w:val="ListBullet"/>
        <w:numPr>
          <w:ilvl w:val="0"/>
          <w:numId w:val="1"/>
        </w:numPr>
      </w:pPr>
      <w:r>
        <w:t xml:space="preserve">Mix by work stream</w:t>
      </w:r>
    </w:p>
    <w:p>
      <w:pPr>
        <w:pStyle w:val="ListBullet"/>
        <w:numPr>
          <w:ilvl w:val="0"/>
          <w:numId w:val="1"/>
        </w:numPr>
      </w:pPr>
      <w:r>
        <w:t xml:space="preserve">Agree how they meet</w:t>
      </w:r>
    </w:p>
    <w:p>
      <w:pPr>
        <w:pStyle w:val="Heading2"/>
      </w:pPr>
      <w:r>
        <w:t xml:space="preserve">Predictive</w:t>
      </w:r>
    </w:p>
    <w:p>
      <w:pPr>
        <w:pStyle w:val="ListBullet"/>
        <w:numPr>
          <w:ilvl w:val="0"/>
          <w:numId w:val="1"/>
        </w:numPr>
      </w:pPr>
      <w:r>
        <w:t xml:space="preserve">Plan up front</w:t>
      </w:r>
    </w:p>
    <w:p>
      <w:pPr>
        <w:pStyle w:val="ListBullet"/>
        <w:numPr>
          <w:ilvl w:val="0"/>
          <w:numId w:val="1"/>
        </w:numPr>
      </w:pPr>
      <w:r>
        <w:t xml:space="preserve">Control change</w:t>
      </w:r>
    </w:p>
    <w:p>
      <w:pPr>
        <w:pStyle w:val="Heading2"/>
      </w:pPr>
      <w:r>
        <w:t xml:space="preserve">Connections</w:t>
      </w:r>
    </w:p>
    <w:p>
      <w:pPr>
        <w:pStyle w:val="ListBullet"/>
        <w:numPr>
          <w:ilvl w:val="0"/>
          <w:numId w:val="1"/>
        </w:numPr>
      </w:pPr>
      <w:r>
        <w:t xml:space="preserve">Milestones and gates</w:t>
      </w:r>
    </w:p>
    <w:p>
      <w:pPr>
        <w:pStyle w:val="ListBullet"/>
        <w:numPr>
          <w:ilvl w:val="0"/>
          <w:numId w:val="1"/>
        </w:numPr>
      </w:pPr>
      <w:r>
        <w:t xml:space="preserve">One reporting rhythm</w:t>
      </w:r>
    </w:p>
    <w:p>
      <w:pPr>
        <w:pStyle w:val="Heading2"/>
      </w:pPr>
      <w:r>
        <w:t xml:space="preserve">Revisit</w:t>
      </w:r>
    </w:p>
    <w:p>
      <w:pPr>
        <w:pStyle w:val="ListBullet"/>
        <w:numPr>
          <w:ilvl w:val="0"/>
          <w:numId w:val="1"/>
        </w:numPr>
      </w:pPr>
      <w:r>
        <w:t xml:space="preserve">As you learn</w:t>
      </w:r>
    </w:p>
    <w:p>
      <w:pPr>
        <w:pStyle w:val="ListBullet"/>
        <w:numPr>
          <w:ilvl w:val="0"/>
          <w:numId w:val="1"/>
        </w:numPr>
      </w:pPr>
      <w:r>
        <w:t xml:space="preserve">Change the approach if needed</w:t>
      </w:r>
    </w:p>
    <w:p>
      <w:pPr>
        <w:pStyle w:val="Heading1"/>
      </w:pPr>
      <w:r>
        <w:t xml:space="preserve">Facilitation tips</w:t>
      </w:r>
    </w:p>
    <w:p>
      <w:r>
        <w:rPr>
          <w:b/>
        </w:rPr>
        <w:t xml:space="preserve">It's not a loyalty test. </w:t>
      </w:r>
      <w:r>
        <w:t xml:space="preserve">Choosing predictive for a part of the work isn't failing at agile; it's choosing well.</w:t>
      </w:r>
    </w:p>
    <w:p>
      <w:r>
        <w:rPr>
          <w:b/>
        </w:rPr>
        <w:t xml:space="preserve">Score privately first. </w:t>
      </w:r>
      <w:r>
        <w:t xml:space="preserve">People anchor on the first number said aloud. Reveal together.</w:t>
      </w:r>
    </w:p>
    <w:p>
      <w:r>
        <w:rPr>
          <w:b/>
        </w:rPr>
        <w:t xml:space="preserve">Disagreement is data. </w:t>
      </w:r>
      <w:r>
        <w:t xml:space="preserve">Where scores differ most, people see the project differently. Talk about why.</w:t>
      </w:r>
    </w:p>
    <w:p>
      <w:r>
        <w:rPr>
          <w:b/>
        </w:rPr>
        <w:t xml:space="preserve">Look for cheap change. </w:t>
      </w:r>
      <w:r>
        <w:t xml:space="preserve">Wherever change is cheap, iterate. Wherever it's expensive, design first.</w:t>
      </w:r>
    </w:p>
    <w:p>
      <w:r>
        <w:rPr>
          <w:b/>
        </w:rPr>
        <w:t xml:space="preserve">Gates need evidence. </w:t>
      </w:r>
      <w:r>
        <w:t xml:space="preserve">In a hybrid project, answer each governance gate with working results where you can.</w:t>
      </w:r>
    </w:p>
    <w:p>
      <w:r>
        <w:rPr>
          <w:b/>
        </w:rPr>
        <w:t xml:space="preserve">Revisit it. </w:t>
      </w:r>
      <w:r>
        <w:t xml:space="preserve">The right approach can change as uncertainty falls. Put a date in the diary.</w:t>
      </w:r>
    </w:p>
    <w:p>
      <w:r>
        <w:rPr>
          <w:b/>
        </w:rPr>
        <w:t xml:space="preserve">Common pitfalls: </w:t>
      </w:r>
      <w:r>
        <w:t xml:space="preserve">picking an approach to match the organisation's fashion; one approach for every part of a varied project; hybrid that means waterfall with stand-ups; never agreeing how agile and predictive parts connect; never revisiting.</w:t>
      </w:r>
    </w:p>
    <w:p>
      <w:pPr>
        <w:pStyle w:val="Heading1"/>
      </w:pPr>
      <w:r>
        <w:t xml:space="preserve">After the session</w:t>
      </w:r>
    </w:p>
    <w:p>
      <w:r>
        <w:rPr>
          <w:b/>
        </w:rPr>
        <w:t xml:space="preserve">Straight away: </w:t>
      </w:r>
      <w:r>
        <w:t xml:space="preserve">Record the approach for each part in the Project Kickoff and RAID Log.</w:t>
      </w:r>
    </w:p>
    <w:p>
      <w:r>
        <w:rPr>
          <w:b/>
        </w:rPr>
        <w:t xml:space="preserve">This week: </w:t>
      </w:r>
      <w:r>
        <w:t xml:space="preserve">Set up the shared milestones and reporting rhythm.</w:t>
      </w:r>
    </w:p>
    <w:p>
      <w:r>
        <w:rPr>
          <w:b/>
        </w:rPr>
        <w:t xml:space="preserve">At each milestone: </w:t>
      </w:r>
      <w:r>
        <w:t xml:space="preserve">Check: is each part's approach still right?</w:t>
      </w:r>
    </w:p>
    <w:p>
      <w:r>
        <w:rPr>
          <w:b/>
        </w:rPr>
        <w:t xml:space="preserve">At close-out: </w:t>
      </w:r>
      <w:r>
        <w:t xml:space="preserve">Note what worked about the approach, for the next project.</w:t>
      </w:r>
    </w:p>
    <w:p>
      <w:pPr>
        <w:pStyle w:val="Heading1"/>
      </w:pPr>
      <w:r>
        <w:t xml:space="preserve">How it fits the toolkit</w:t>
      </w:r>
    </w:p>
    <w:p>
      <w:r>
        <w:t xml:space="preserve">Use it with the </w:t>
      </w:r>
      <w:r>
        <w:t xml:space="preserve">Project Kickoff</w:t>
      </w:r>
      <w:r>
        <w:t xml:space="preserve">, the </w:t>
      </w:r>
      <w:r>
        <w:t xml:space="preserve">Right-Size Your Structure</w:t>
      </w:r>
      <w:r>
        <w:t xml:space="preserve"> poster for how much process to add, the </w:t>
      </w:r>
      <w:r>
        <w:t xml:space="preserve">Cynefin® Sense-Making</w:t>
      </w:r>
      <w:r>
        <w:t xml:space="preserve"> board for how predictable each part is, and the </w:t>
      </w:r>
      <w:r>
        <w:t xml:space="preserve">SDLC at a Glance</w:t>
      </w:r>
      <w:r>
        <w:t xml:space="preserve"> poster for keeping governance without the delay. Project managers new to agile tools will find </w:t>
      </w:r>
      <w:r>
        <w:t xml:space="preserve">For Project Managers</w:t>
      </w:r>
      <w:r>
        <w:t xml:space="preserve"> useful.</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“Delivery Approach”, a workshop board.</w:t>
      </w:r>
    </w:p>
    <w:p>
      <w:r>
        <w:t xml:space="preserve">Purpose: Predictive, agile or hybrid? Score the project's culture, team and work, then choose an approach for each part.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Project, Date</w:t>
      </w:r>
    </w:p>
    <w:p>
      <w:r>
        <w:t xml:space="preserve">Sections:</w:t>
      </w:r>
    </w:p>
    <w:p>
      <w:r>
        <w:t xml:space="preserve">1. Suitability Check: top left, about 65% wide and 65% tall; header colour blue.</w:t>
      </w:r>
    </w:p>
    <w:p>
      <w:r>
        <w:t xml:space="preserve">   Subtitle: Circle one score per row · discuss where you disagree</w:t>
      </w:r>
    </w:p>
    <w:p>
      <w:r>
        <w:t xml:space="preserve">   Content: Leans agile (1): · Score: · Leans predictive (5): · Culture: · Support for iterative working · Sponsors and team want it · 1 2 3 4 5 (×10) · Little support for it · Trust in the team · Team decides how to work · Decisions made above the team · Speed of decisions · Fast, close to the work · Slow, many approvals · Team: · Team size and stability · Small and stable · Large or often changing · Experience · Used to iterative delivery · New to it · Access to the customer · Available every week · Rarely available · Project: · Certainty of requirements · Will change as we learn · Stable and known up front · Cost of changing later · Cheap to change · Costly once built · Delivering in pieces · Useful in small pieces · Only useful when complete · Regulation and sign-off · Light · Heavy, formal sign-offs · Total (10–50): · Look at the pattern, not just the total: one high score can need its own approach.</w:t>
      </w:r>
    </w:p>
    <w:p>
      <w:r>
        <w:t xml:space="preserve">2. Reading the Score: top right, about 35% wide and 65% tall; header colour slate grey.</w:t>
      </w:r>
    </w:p>
    <w:p>
      <w:r>
        <w:t xml:space="preserve">   Subtitle: A rule of thumb, not a verdict</w:t>
      </w:r>
    </w:p>
    <w:p>
      <w:r>
        <w:t xml:space="preserve">   Content: Agile · Mostly 1s and 2s · total about 10–20 · Deliver in short iterations, with the customer close by. Plan a little, often. · Hybrid · A mix · total about 21–35 · Iterate where learning matters, and plan up front where change is costly. Agree how the parts meet. · Predictive · Mostly 4s and 5s · total about 36–50 · Plan and design up front, with formal change control. Still look for chances to get feedback early. · Most organisations end up hybrid. That's fine: the aim is the right approach for each part of the work.</w:t>
      </w:r>
    </w:p>
    <w:p>
      <w:r>
        <w:t xml:space="preserve">3. Work Streams: bottom left, about 50% wide and 35% tall; header colour purple.</w:t>
      </w:r>
    </w:p>
    <w:p>
      <w:r>
        <w:t xml:space="preserve">   Subtitle: The approach can differ by part</w:t>
      </w:r>
    </w:p>
    <w:p>
      <w:r>
        <w:t xml:space="preserve">   Content: Part of the work: · Approach: · Why: · Owner:</w:t>
      </w:r>
    </w:p>
    <w:p>
      <w:r>
        <w:t xml:space="preserve">4. How the Parts Connect: bottom right, about 50% wide and 35% tall; header colour dark green.</w:t>
      </w:r>
    </w:p>
    <w:p>
      <w:r>
        <w:t xml:space="preserve">   Subtitle: Where agile and predictive work meet</w:t>
      </w:r>
    </w:p>
    <w:p>
      <w:r>
        <w:t xml:space="preserve">   Content: Shared milestones: · Gates, and the evidence that answers them: · Reporting rhythm: · Hand-offs and dependencies between parts: · Revisit the approach on:</w:t>
      </w:r>
    </w:p>
    <w:p>
      <w:r>
        <w:t xml:space="preserve">Footer questions: “Which parts of this work will we only understand by doing them?” “Where is change cheap, and where is it expensive?”</w:t>
      </w:r>
    </w:p>
    <w:p>
      <w:r>
        <w:t xml:space="preserve">Original board for reference: https://eparker71.github.io/better-delivery-toolkit/boards/delivery-approach-board.html</w:t>
      </w:r>
    </w:p>
    <w:p>
      <w:pPr>
        <w:pStyle w:val="Small"/>
      </w:pPr>
      <w:r>
        <w:t xml:space="preserve">Boards: https://eparker71.github.io/better-delivery-toolkit/boards/delivery-approach-board.html  ·  Online guide: https://eparker71.github.io/better-delivery-toolkit/guides/facilitator-guide-delivery-approach.html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Delivery Approach Guide</dc:title>
  <dc:creator>Eric Parker</dc:creator>
</cp:coreProperties>
</file>