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t xml:space="preserve">Motivation &amp; Recognition Guide</w:t>
      </w:r>
    </w:p>
    <w:p>
      <w:r>
        <w:rPr>
          <w:i/>
        </w:rPr>
        <w:t xml:space="preserve">How to find out what motivates each person, test how a change will affect them, and recognise good work specifically.</w:t>
      </w:r>
    </w:p>
    <w:p>
      <w:pPr>
        <w:pStyle w:val="Small"/>
      </w:pPr>
      <w:r>
        <w:t xml:space="preserve">Facilitator Run-Sheet · Lead the Organisation · Inspired by Management 3.0</w:t>
      </w:r>
    </w:p>
    <w:p>
      <w:pPr>
        <w:pStyle w:val="Quote"/>
      </w:pPr>
      <w:r>
        <w:rPr>
          <w:i/>
        </w:rPr>
        <w:t xml:space="preserve">“Which motivator would this change put at risk, and for whom?”</w:t>
      </w:r>
    </w:p>
    <w:p>
      <w:r>
        <w:t xml:space="preserve">People are motivated by different things, and leaders often guess wrong. This board combines two practices from Jurgen Appelo's Management 3.0. In </w:t>
      </w:r>
      <w:r>
        <w:rPr>
          <w:b/>
        </w:rPr>
        <w:t xml:space="preserve">Moving Motivators</w:t>
      </w:r>
      <w:r>
        <w:t xml:space="preserve">, each person ranks </w:t>
      </w:r>
      <w:r>
        <w:rPr>
          <w:b/>
        </w:rPr>
        <w:t xml:space="preserve">ten intrinsic motivators</w:t>
      </w:r>
      <w:r>
        <w:t xml:space="preserve"> (curiosity, honour, acceptance, mastery, power, freedom, relatedness, order, goal and status) from least to most important, then moves each one </w:t>
      </w:r>
      <w:r>
        <w:rPr>
          <w:b/>
        </w:rPr>
        <w:t xml:space="preserve">up or down</w:t>
      </w:r>
      <w:r>
        <w:t xml:space="preserve"> to show how a planned change would affect it. </w:t>
      </w:r>
      <w:r>
        <w:rPr>
          <w:b/>
        </w:rPr>
        <w:t xml:space="preserve">Kudo cards</w:t>
      </w:r>
      <w:r>
        <w:t xml:space="preserve"> make recognition a habit: a short, specific thank-you that anyone can give anyone.</w:t>
      </w:r>
    </w:p>
    <w:tbl>
      <w:tblPr>
        <w:tblStyle w:val="TableGrid"/>
        <w:tblW w:w="0" w:type="auto"/>
      </w:tblPr>
      <w:tblGrid>
        <w:gridCol w:w="2250"/>
        <w:gridCol w:w="2250"/>
        <w:gridCol w:w="2250"/>
        <w:gridCol w:w="2250"/>
      </w:tblGrid>
      <w:tr>
        <w:trPr>
          <w:tblHeader/>
        </w:trPr>
        <w:tc>
          <w:tcPr>
            <w:tcW w:w="2250" w:type="dxa"/>
            <w:shd w:val="clear" w:color="auto" w:fill="EEF2F6"/>
          </w:tcPr>
          <w:p>
            <w:r>
              <w:rPr>
                <w:b/>
              </w:rPr>
              <w:t xml:space="preserve">Duration</w:t>
            </w:r>
          </w:p>
        </w:tc>
        <w:tc>
          <w:tcPr>
            <w:tcW w:w="2250" w:type="dxa"/>
            <w:shd w:val="clear" w:color="auto" w:fill="EEF2F6"/>
          </w:tcPr>
          <w:p>
            <w:r>
              <w:rPr>
                <w:b/>
              </w:rPr>
              <w:t xml:space="preserve">Group</w:t>
            </w:r>
          </w:p>
        </w:tc>
        <w:tc>
          <w:tcPr>
            <w:tcW w:w="2250" w:type="dxa"/>
            <w:shd w:val="clear" w:color="auto" w:fill="EEF2F6"/>
          </w:tcPr>
          <w:p>
            <w:r>
              <w:rPr>
                <w:b/>
              </w:rPr>
              <w:t xml:space="preserve">Use when</w:t>
            </w:r>
          </w:p>
        </w:tc>
        <w:tc>
          <w:tcPr>
            <w:tcW w:w="2250" w:type="dxa"/>
            <w:shd w:val="clear" w:color="auto" w:fill="EEF2F6"/>
          </w:tcPr>
          <w:p>
            <w:r>
              <w:rPr>
                <w:b/>
              </w:rPr>
              <w:t xml:space="preserve">Output</w:t>
            </w:r>
          </w:p>
        </w:tc>
      </w:tr>
      <w:tr>
        <w:tc>
          <w:tcPr>
            <w:tcW w:w="2250" w:type="dxa"/>
          </w:tcPr>
          <w:p>
            <w:r>
              <w:t xml:space="preserve">45–60 min</w:t>
            </w:r>
          </w:p>
        </w:tc>
        <w:tc>
          <w:tcPr>
            <w:tcW w:w="2250" w:type="dxa"/>
          </w:tcPr>
          <w:p>
            <w:r>
              <w:t xml:space="preserve">One person with a manager</w:t>
            </w:r>
            <w:r>
              <w:br/>
            </w:r>
            <w:r>
              <w:t xml:space="preserve">or coach, or a whole team</w:t>
            </w:r>
          </w:p>
        </w:tc>
        <w:tc>
          <w:tcPr>
            <w:tcW w:w="2250" w:type="dxa"/>
          </w:tcPr>
          <w:p>
            <w:r>
              <w:t xml:space="preserve">1:1s, before a change,</w:t>
            </w:r>
            <w:r>
              <w:br/>
            </w:r>
            <w:r>
              <w:t xml:space="preserve">or a new team</w:t>
            </w:r>
          </w:p>
        </w:tc>
        <w:tc>
          <w:tcPr>
            <w:tcW w:w="2250" w:type="dxa"/>
          </w:tcPr>
          <w:p>
            <w:r>
              <w:t xml:space="preserve">What drives each person,</w:t>
            </w:r>
            <w:r>
              <w:br/>
            </w:r>
            <w:r>
              <w:t xml:space="preserve">and a thank-you habit</w:t>
            </w:r>
          </w:p>
        </w:tc>
      </w:tr>
    </w:tbl>
    <w:p/>
    <w:p>
      <w:pPr>
        <w:pStyle w:val="Heading1"/>
      </w:pPr>
      <w:r>
        <w:t xml:space="preserve">Before the session</w:t>
      </w:r>
    </w:p>
    <w:p>
      <w:pPr>
        <w:pStyle w:val="ListBullet"/>
        <w:numPr>
          <w:ilvl w:val="0"/>
          <w:numId w:val="1"/>
        </w:numPr>
      </w:pPr>
      <w:r>
        <w:t xml:space="preserve">Print the board at A3 or 11×17, one per person, or load the SVG on a digital whiteboard</w:t>
      </w:r>
    </w:p>
    <w:p>
      <w:pPr>
        <w:pStyle w:val="ListBullet"/>
        <w:numPr>
          <w:ilvl w:val="0"/>
          <w:numId w:val="1"/>
        </w:numPr>
      </w:pPr>
      <w:r>
        <w:t xml:space="preserve">Write the ten motivators on cards or stickies, one set per person</w:t>
      </w:r>
    </w:p>
    <w:p>
      <w:pPr>
        <w:pStyle w:val="ListBullet"/>
        <w:numPr>
          <w:ilvl w:val="0"/>
          <w:numId w:val="1"/>
        </w:numPr>
      </w:pPr>
      <w:r>
        <w:t xml:space="preserve">If you're testing a change, describe it in one sentence beforehand</w:t>
      </w:r>
    </w:p>
    <w:p>
      <w:pPr>
        <w:pStyle w:val="ListBullet"/>
        <w:numPr>
          <w:ilvl w:val="0"/>
          <w:numId w:val="1"/>
        </w:numPr>
      </w:pPr>
      <w:r>
        <w:t xml:space="preserve">Do your own first, and be ready to share it</w:t>
      </w:r>
    </w:p>
    <w:p>
      <w:pPr>
        <w:pStyle w:val="Heading1"/>
      </w:pPr>
      <w:r>
        <w:t xml:space="preserve">Agenda &amp; run-sheet</w:t>
      </w:r>
    </w:p>
    <w:tbl>
      <w:tblPr>
        <w:tblStyle w:val="TableGrid"/>
        <w:tblW w:w="0" w:type="auto"/>
      </w:tblPr>
      <w:tblGrid>
        <w:gridCol w:w="1300"/>
        <w:gridCol w:w="2300"/>
        <w:gridCol w:w="5400"/>
      </w:tblGrid>
      <w:tr>
        <w:trPr>
          <w:tblHeader/>
        </w:trPr>
        <w:tc>
          <w:tcPr>
            <w:tcW w:w="1300" w:type="dxa"/>
            <w:shd w:val="clear" w:color="auto" w:fill="EEF2F6"/>
          </w:tcPr>
          <w:p>
            <w:r>
              <w:rPr>
                <w:b/>
              </w:rPr>
              <w:t xml:space="preserve">Time</w:t>
            </w:r>
          </w:p>
        </w:tc>
        <w:tc>
          <w:tcPr>
            <w:tcW w:w="2300" w:type="dxa"/>
            <w:shd w:val="clear" w:color="auto" w:fill="EEF2F6"/>
          </w:tcPr>
          <w:p>
            <w:r>
              <w:rPr>
                <w:b/>
              </w:rPr>
              <w:t xml:space="preserve">Section</w:t>
            </w:r>
          </w:p>
        </w:tc>
        <w:tc>
          <w:tcPr>
            <w:tcW w:w="5400" w:type="dxa"/>
            <w:shd w:val="clear" w:color="auto" w:fill="EEF2F6"/>
          </w:tcPr>
          <w:p>
            <w:r>
              <w:rPr>
                <w:b/>
              </w:rPr>
              <w:t xml:space="preserve">Facilitator notes</w:t>
            </w:r>
          </w:p>
        </w:tc>
      </w:tr>
      <w:tr>
        <w:tc>
          <w:tcPr>
            <w:tcW w:w="1300" w:type="dxa"/>
          </w:tcPr>
          <w:p>
            <w:r>
              <w:t xml:space="preserve">0–5</w:t>
            </w:r>
          </w:p>
        </w:tc>
        <w:tc>
          <w:tcPr>
            <w:tcW w:w="2300" w:type="dxa"/>
          </w:tcPr>
          <w:p>
            <w:r>
              <w:t xml:space="preserve">1 · The Ten Motivators</w:t>
            </w:r>
          </w:p>
        </w:tc>
        <w:tc>
          <w:tcPr>
            <w:tcW w:w="5400" w:type="dxa"/>
          </w:tcPr>
          <w:p>
            <w:r>
              <w:t xml:space="preserve">Read through them. Each person may interpret a motivator in their own way; that's fine.</w:t>
            </w:r>
          </w:p>
        </w:tc>
      </w:tr>
      <w:tr>
        <w:tc>
          <w:tcPr>
            <w:tcW w:w="1300" w:type="dxa"/>
          </w:tcPr>
          <w:p>
            <w:r>
              <w:t xml:space="preserve">5–15</w:t>
            </w:r>
          </w:p>
        </w:tc>
        <w:tc>
          <w:tcPr>
            <w:tcW w:w="2300" w:type="dxa"/>
          </w:tcPr>
          <w:p>
            <w:r>
              <w:t xml:space="preserve">2 · Rank</w:t>
            </w:r>
          </w:p>
        </w:tc>
        <w:tc>
          <w:tcPr>
            <w:tcW w:w="5400" w:type="dxa"/>
          </w:tcPr>
          <w:p>
            <w:r>
              <w:t xml:space="preserve">Each person lays out their cards from least important (left) to most important (right). No discussion yet.</w:t>
            </w:r>
          </w:p>
        </w:tc>
      </w:tr>
      <w:tr>
        <w:tc>
          <w:tcPr>
            <w:tcW w:w="1300" w:type="dxa"/>
          </w:tcPr>
          <w:p>
            <w:r>
              <w:t xml:space="preserve">15–25</w:t>
            </w:r>
          </w:p>
        </w:tc>
        <w:tc>
          <w:tcPr>
            <w:tcW w:w="2300" w:type="dxa"/>
          </w:tcPr>
          <w:p>
            <w:r>
              <w:t xml:space="preserve">2 · Test a change</w:t>
            </w:r>
          </w:p>
        </w:tc>
        <w:tc>
          <w:tcPr>
            <w:tcW w:w="5400" w:type="dxa"/>
          </w:tcPr>
          <w:p>
            <w:r>
              <w:t xml:space="preserve">Read the change aloud. Move each card up if it would motivate you more, down if less.</w:t>
            </w:r>
          </w:p>
        </w:tc>
      </w:tr>
      <w:tr>
        <w:tc>
          <w:tcPr>
            <w:tcW w:w="1300" w:type="dxa"/>
          </w:tcPr>
          <w:p>
            <w:r>
              <w:t xml:space="preserve">25–40</w:t>
            </w:r>
          </w:p>
        </w:tc>
        <w:tc>
          <w:tcPr>
            <w:tcW w:w="2300" w:type="dxa"/>
          </w:tcPr>
          <w:p>
            <w:r>
              <w:t xml:space="preserve">3 · What I Learned</w:t>
            </w:r>
          </w:p>
        </w:tc>
        <w:tc>
          <w:tcPr>
            <w:tcW w:w="5400" w:type="dxa"/>
          </w:tcPr>
          <w:p>
            <w:r>
              <w:t xml:space="preserve">Share what you choose: surprises, what you need more of, what you'll ask for.</w:t>
            </w:r>
          </w:p>
        </w:tc>
      </w:tr>
      <w:tr>
        <w:tc>
          <w:tcPr>
            <w:tcW w:w="1300" w:type="dxa"/>
          </w:tcPr>
          <w:p>
            <w:r>
              <w:t xml:space="preserve">40–50</w:t>
            </w:r>
          </w:p>
        </w:tc>
        <w:tc>
          <w:tcPr>
            <w:tcW w:w="2300" w:type="dxa"/>
          </w:tcPr>
          <w:p>
            <w:r>
              <w:t xml:space="preserve">4 · Kudo Cards</w:t>
            </w:r>
          </w:p>
        </w:tc>
        <w:tc>
          <w:tcPr>
            <w:tcW w:w="5400" w:type="dxa"/>
          </w:tcPr>
          <w:p>
            <w:r>
              <w:t xml:space="preserve">Each person writes at least one specific thank-you, then gives or posts them.</w:t>
            </w:r>
          </w:p>
        </w:tc>
      </w:tr>
    </w:tbl>
    <w:p/>
    <w:p>
      <w:pPr>
        <w:pStyle w:val="Heading1"/>
      </w:pPr>
      <w:r>
        <w:t xml:space="preserve">Reading the results</w:t>
      </w:r>
    </w:p>
    <w:p>
      <w:r>
        <w:t xml:space="preserve">Patterns are more useful than single cards.</w:t>
      </w:r>
    </w:p>
    <w:p>
      <w:pPr>
        <w:pStyle w:val="Heading2"/>
      </w:pPr>
      <w:r>
        <w:t xml:space="preserve">Top three</w:t>
      </w:r>
    </w:p>
    <w:p>
      <w:pPr>
        <w:pStyle w:val="ListBullet"/>
        <w:numPr>
          <w:ilvl w:val="0"/>
          <w:numId w:val="1"/>
        </w:numPr>
      </w:pPr>
      <w:r>
        <w:t xml:space="preserve">What to protect</w:t>
      </w:r>
    </w:p>
    <w:p>
      <w:pPr>
        <w:pStyle w:val="ListBullet"/>
        <w:numPr>
          <w:ilvl w:val="0"/>
          <w:numId w:val="1"/>
        </w:numPr>
      </w:pPr>
      <w:r>
        <w:t xml:space="preserve">in any change</w:t>
      </w:r>
    </w:p>
    <w:p>
      <w:pPr>
        <w:pStyle w:val="Heading2"/>
      </w:pPr>
      <w:r>
        <w:t xml:space="preserve">Bottom three</w:t>
      </w:r>
    </w:p>
    <w:p>
      <w:pPr>
        <w:pStyle w:val="ListBullet"/>
        <w:numPr>
          <w:ilvl w:val="0"/>
          <w:numId w:val="1"/>
        </w:numPr>
      </w:pPr>
      <w:r>
        <w:t xml:space="preserve">Less important now</w:t>
      </w:r>
    </w:p>
    <w:p>
      <w:pPr>
        <w:pStyle w:val="ListBullet"/>
        <w:numPr>
          <w:ilvl w:val="0"/>
          <w:numId w:val="1"/>
        </w:numPr>
      </w:pPr>
      <w:r>
        <w:t xml:space="preserve">May change over time</w:t>
      </w:r>
    </w:p>
    <w:p>
      <w:pPr>
        <w:pStyle w:val="Heading2"/>
      </w:pPr>
      <w:r>
        <w:t xml:space="preserve">Moved down</w:t>
      </w:r>
    </w:p>
    <w:p>
      <w:pPr>
        <w:pStyle w:val="ListBullet"/>
        <w:numPr>
          <w:ilvl w:val="0"/>
          <w:numId w:val="1"/>
        </w:numPr>
      </w:pPr>
      <w:r>
        <w:t xml:space="preserve">Risks in the change</w:t>
      </w:r>
    </w:p>
    <w:p>
      <w:pPr>
        <w:pStyle w:val="ListBullet"/>
        <w:numPr>
          <w:ilvl w:val="0"/>
          <w:numId w:val="1"/>
        </w:numPr>
      </w:pPr>
      <w:r>
        <w:t xml:space="preserve">Talk about these first</w:t>
      </w:r>
    </w:p>
    <w:p>
      <w:pPr>
        <w:pStyle w:val="Heading2"/>
      </w:pPr>
      <w:r>
        <w:t xml:space="preserve">Moved up</w:t>
      </w:r>
    </w:p>
    <w:p>
      <w:pPr>
        <w:pStyle w:val="ListBullet"/>
        <w:numPr>
          <w:ilvl w:val="0"/>
          <w:numId w:val="1"/>
        </w:numPr>
      </w:pPr>
      <w:r>
        <w:t xml:space="preserve">What the change offers</w:t>
      </w:r>
    </w:p>
    <w:p>
      <w:pPr>
        <w:pStyle w:val="ListBullet"/>
        <w:numPr>
          <w:ilvl w:val="0"/>
          <w:numId w:val="1"/>
        </w:numPr>
      </w:pPr>
      <w:r>
        <w:t xml:space="preserve">Build on it</w:t>
      </w:r>
    </w:p>
    <w:p>
      <w:pPr>
        <w:pStyle w:val="Heading2"/>
      </w:pPr>
      <w:r>
        <w:t xml:space="preserve">Kudos</w:t>
      </w:r>
    </w:p>
    <w:p>
      <w:pPr>
        <w:pStyle w:val="ListBullet"/>
        <w:numPr>
          <w:ilvl w:val="0"/>
          <w:numId w:val="1"/>
        </w:numPr>
      </w:pPr>
      <w:r>
        <w:t xml:space="preserve">Specific behaviour</w:t>
      </w:r>
    </w:p>
    <w:p>
      <w:pPr>
        <w:pStyle w:val="ListBullet"/>
        <w:numPr>
          <w:ilvl w:val="0"/>
          <w:numId w:val="1"/>
        </w:numPr>
      </w:pPr>
      <w:r>
        <w:t xml:space="preserve">Given soon, often</w:t>
      </w:r>
    </w:p>
    <w:p>
      <w:pPr>
        <w:pStyle w:val="Heading1"/>
      </w:pPr>
      <w:r>
        <w:t xml:space="preserve">Facilitation tips</w:t>
      </w:r>
    </w:p>
    <w:p>
      <w:r>
        <w:rPr>
          <w:b/>
        </w:rPr>
        <w:t xml:space="preserve">No right answers. </w:t>
      </w:r>
      <w:r>
        <w:t xml:space="preserve">A ranking says what matters to someone now, not who they are; it changes over time.</w:t>
      </w:r>
    </w:p>
    <w:p>
      <w:r>
        <w:rPr>
          <w:b/>
        </w:rPr>
        <w:t xml:space="preserve">Share by choice. </w:t>
      </w:r>
      <w:r>
        <w:t xml:space="preserve">Some people won't want to show their cards. Respect that; the private insight still helps.</w:t>
      </w:r>
    </w:p>
    <w:p>
      <w:r>
        <w:rPr>
          <w:b/>
        </w:rPr>
        <w:t xml:space="preserve">Focus on the moves. </w:t>
      </w:r>
      <w:r>
        <w:t xml:space="preserve">The cards that move down when you describe a change are where to listen.</w:t>
      </w:r>
    </w:p>
    <w:p>
      <w:r>
        <w:rPr>
          <w:b/>
        </w:rPr>
        <w:t xml:space="preserve">Kudos for behaviour. </w:t>
      </w:r>
      <w:r>
        <w:t xml:space="preserve">Thank people for something specific they did, not for being great.</w:t>
      </w:r>
    </w:p>
    <w:p>
      <w:r>
        <w:rPr>
          <w:b/>
        </w:rPr>
        <w:t xml:space="preserve">Peer to peer. </w:t>
      </w:r>
      <w:r>
        <w:t xml:space="preserve">Recognition from teammates often means more than recognition from a manager.</w:t>
      </w:r>
    </w:p>
    <w:p>
      <w:r>
        <w:rPr>
          <w:b/>
        </w:rPr>
        <w:t xml:space="preserve">Not a reward scheme. </w:t>
      </w:r>
      <w:r>
        <w:t xml:space="preserve">Never link kudos to pay or targets; that turns thanks into a transaction.</w:t>
      </w:r>
    </w:p>
    <w:p>
      <w:r>
        <w:rPr>
          <w:b/>
        </w:rPr>
        <w:t xml:space="preserve">Common pitfalls: </w:t>
      </w:r>
      <w:r>
        <w:t xml:space="preserve">using rankings to judge or label people; forcing people to share; testing a change that's already decided; kudo cards that are vague or only from managers; turning kudos into a competition.</w:t>
      </w:r>
    </w:p>
    <w:p>
      <w:pPr>
        <w:pStyle w:val="Heading1"/>
      </w:pPr>
      <w:r>
        <w:t xml:space="preserve">After the session</w:t>
      </w:r>
    </w:p>
    <w:p>
      <w:r>
        <w:rPr>
          <w:b/>
        </w:rPr>
        <w:t xml:space="preserve">Straight away: </w:t>
      </w:r>
      <w:r>
        <w:t xml:space="preserve">Photograph the rankings (with permission) and note what each person needs.</w:t>
      </w:r>
    </w:p>
    <w:p>
      <w:r>
        <w:rPr>
          <w:b/>
        </w:rPr>
        <w:t xml:space="preserve">In 1:1s: </w:t>
      </w:r>
      <w:r>
        <w:t xml:space="preserve">Revisit the top motivators every few months.</w:t>
      </w:r>
    </w:p>
    <w:p>
      <w:r>
        <w:rPr>
          <w:b/>
        </w:rPr>
        <w:t xml:space="preserve">Before a change: </w:t>
      </w:r>
      <w:r>
        <w:t xml:space="preserve">Run the change test with the people affected.</w:t>
      </w:r>
    </w:p>
    <w:p>
      <w:r>
        <w:rPr>
          <w:b/>
        </w:rPr>
        <w:t xml:space="preserve">Every week: </w:t>
      </w:r>
      <w:r>
        <w:t xml:space="preserve">Keep a kudo wall or channel going.</w:t>
      </w:r>
    </w:p>
    <w:p>
      <w:pPr>
        <w:pStyle w:val="Heading1"/>
      </w:pPr>
      <w:r>
        <w:t xml:space="preserve">How it fits the toolkit</w:t>
      </w:r>
    </w:p>
    <w:p>
      <w:r>
        <w:t xml:space="preserve">It sits alongside the </w:t>
      </w:r>
      <w:r>
        <w:t xml:space="preserve">Delegation Board</w:t>
      </w:r>
      <w:r>
        <w:t xml:space="preserve"> (also inspired by Management 3.0; freedom and power often show up in both), </w:t>
      </w:r>
      <w:r>
        <w:t xml:space="preserve">ADKAR Change Readiness</w:t>
      </w:r>
      <w:r>
        <w:t xml:space="preserve"> for planning a change, the </w:t>
      </w:r>
      <w:r>
        <w:t xml:space="preserve">Personal User Manual</w:t>
      </w:r>
      <w:r>
        <w:t xml:space="preserve">, and the </w:t>
      </w:r>
      <w:r>
        <w:t xml:space="preserve">Coaching Conversation</w:t>
      </w:r>
      <w:r>
        <w:t xml:space="preserve"> for following up one to one.</w:t>
      </w:r>
    </w:p>
    <w:p>
      <w:pPr>
        <w:pStyle w:val="Heading1"/>
      </w:pPr>
      <w:r>
        <w:t xml:space="preserve">Recreate it in your whiteboard</w:t>
      </w:r>
    </w:p>
    <w:p>
      <w:pPr>
        <w:pStyle w:val="Small"/>
      </w:pPr>
      <w:r>
        <w:t xml:space="preserve">Paste this into your whiteboard's AI assistant (for example Miro AI or Atlassian Rovo) or a general assistant, to get an editable, native version of the board. Results vary by tool, so expect to tidy it up. For an exact copy, import the SVG as a locked background instead.</w:t>
      </w:r>
    </w:p>
    <w:p>
      <w:r>
        <w:t xml:space="preserve">Create an editable whiteboard for “Motivation &amp; Recognition”, a workshop board.</w:t>
      </w:r>
    </w:p>
    <w:p>
      <w:r>
        <w:t xml:space="preserve">Purpose: Find out what motivates each person, test how a change will affect it, and thank people specifically and often.</w:t>
      </w:r>
    </w:p>
    <w:p>
      <w:r>
        <w:t xml:space="preserve">Layout: a wide landscape board (about 16:11). Make one frame per section below, placed as described. In each frame, add the section name as a heading, then its content as short text labels or empty fields to fill in. Leave space in each frame for sticky notes. Use the header colour given. Keep the wording as written and don't add extra content.</w:t>
      </w:r>
    </w:p>
    <w:p>
      <w:r>
        <w:t xml:space="preserve">Header fields to fill in: Name, Date</w:t>
      </w:r>
    </w:p>
    <w:p>
      <w:r>
        <w:t xml:space="preserve">Sections:</w:t>
      </w:r>
    </w:p>
    <w:p>
      <w:r>
        <w:t xml:space="preserve">1. The Ten Motivators: top full width, about 100% wide and 25% tall; header colour purple.</w:t>
      </w:r>
    </w:p>
    <w:p>
      <w:r>
        <w:t xml:space="preserve">   Subtitle: Write each on a card or sticky</w:t>
      </w:r>
    </w:p>
    <w:p>
      <w:r>
        <w:t xml:space="preserve">   Content: Curiosity: Plenty to explore and learn · Honour: My work fits my values · Acceptance: People approve of me and what I do · Mastery: Work that stretches my skills · Power: I can influence what happens · Freedom: Independence in my own work · Relatedness: Good relationships at work · Order: Enough structure and stability · Goal: My work serves a purpose I care about · Status: My position is recognised</w:t>
      </w:r>
    </w:p>
    <w:p>
      <w:r>
        <w:t xml:space="preserve">2. Rank Them, Then Test a Change: middle full width, about 100% wide and 45% tall; header colour blue.</w:t>
      </w:r>
    </w:p>
    <w:p>
      <w:r>
        <w:t xml:space="preserve">   Subtitle: Left to right · then move up or down</w:t>
      </w:r>
    </w:p>
    <w:p>
      <w:r>
        <w:t xml:space="preserve">   Content: The change we're testing: · More motivated: · ↑ (×10) · Card 1 · Card 2 · Card 3 · Card 4 · Card 5 · Card 6 · Card 7 · Card 8 · Card 9 · Card 10 · ↓ (×10) · Less motivated: · Least important to me: · Most important to me:</w:t>
      </w:r>
    </w:p>
    <w:p>
      <w:r>
        <w:t xml:space="preserve">3. What I Learned: bottom left, about 35% wide and 25% tall; header colour emerald green.</w:t>
      </w:r>
    </w:p>
    <w:p>
      <w:r>
        <w:t xml:space="preserve">   Subtitle: Share what you choose</w:t>
      </w:r>
    </w:p>
    <w:p>
      <w:r>
        <w:t xml:space="preserve">   Content: What surprised me: · What I need more of: · What I'll ask for: · What I can offer others:</w:t>
      </w:r>
    </w:p>
    <w:p>
      <w:r>
        <w:t xml:space="preserve">4. Kudo Cards: bottom right, about 65% wide and 25% tall; header colour amber.</w:t>
      </w:r>
    </w:p>
    <w:p>
      <w:r>
        <w:t xml:space="preserve">   Subtitle: Specific · timely · often</w:t>
      </w:r>
    </w:p>
    <w:p>
      <w:r>
        <w:t xml:space="preserve">   Content: Thank you (×3) · Well done (×3) · You helped me (×3) · To: (×3) · For: (×3) · From: (×3)</w:t>
      </w:r>
    </w:p>
    <w:p>
      <w:r>
        <w:t xml:space="preserve">Footer questions: “Which motivator would this change put at risk, and for whom?” “Who deserves a thank-you this week, and for what exactly?”</w:t>
      </w:r>
    </w:p>
    <w:p>
      <w:r>
        <w:t xml:space="preserve">Original board for reference: https://eparker71.github.io/better-delivery-toolkit/boards/motivation-board.html</w:t>
      </w:r>
    </w:p>
    <w:p>
      <w:pPr>
        <w:pStyle w:val="Small"/>
      </w:pPr>
      <w:r>
        <w:t xml:space="preserve">Boards: https://eparker71.github.io/better-delivery-toolkit/boards/motivation-board.html  ·  Online guide: https://eparker71.github.io/better-delivery-toolkit/guides/facilitator-guide-motivation.html</w:t>
      </w:r>
    </w:p>
    <w:p>
      <w:pPr>
        <w:pStyle w:val="Small"/>
      </w:pPr>
      <w:r>
        <w:t xml:space="preserve">© 2026 Eric Parker · CC BY 4.0 · eparker71.github.io/better-delivery-toolkit · Adapt it freely; please keep the credit and say what you changed.</w:t>
      </w:r>
    </w:p>
    <w:sectPr>
      <w:pgSz w:w="11906" w:h="16838"/>
      <w:pgMar w:top="1134" w:right="1134" w:bottom="1134" w:left="1134" w:header="567" w:footer="567" w:gutter="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lvl>
  </w:abstractNum>
  <w:num w:numId="1">
    <w:abstractNumId w:val="0"/>
  </w:num>
</w:numbering>
</file>

<file path=word/styles.xml><?xml version="1.0" encoding="utf-8"?>
<w:styles xmlns:w="http://schemas.openxmlformats.org/wordprocessingml/2006/main">
  <w:docDefaults>
    <w:rPrDefault>
      <w:rPr>
        <w:rFonts w:ascii="Calibri" w:hAnsi="Calibri" w:cs="Calibri"/>
        <w:sz w:val="21"/>
        <w:color w:val="1E293B"/>
      </w:rPr>
    </w:rPrDefault>
    <w:pPrDefault>
      <w:pPr>
        <w:spacing w:after="120" w:line="276" w:lineRule="auto"/>
      </w:pPr>
    </w:pPrDefault>
  </w:docDefaults>
  <w:style w:type="paragraph" w:default="1" w:styleId="Normal">
    <w:name w:val="Normal"/>
  </w:style>
  <w:style w:type="paragraph" w:styleId="Title">
    <w:name w:val="Title"/>
    <w:basedOn w:val="Normal"/>
    <w:next w:val="Normal"/>
    <w:pPr>
      <w:spacing w:after="60"/>
    </w:pPr>
    <w:rPr>
      <w:rFonts w:ascii="Georgia" w:hAnsi="Georgia"/>
      <w:sz w:val="48"/>
      <w:color w:val="0C1A2E"/>
    </w:rPr>
  </w:style>
  <w:style w:type="paragraph" w:styleId="Heading1">
    <w:name w:val="heading 1"/>
    <w:basedOn w:val="Normal"/>
    <w:next w:val="Normal"/>
    <w:pPr>
      <w:keepNext/>
      <w:spacing w:before="320" w:after="100"/>
      <w:outlineLvl w:val="0"/>
    </w:pPr>
    <w:rPr>
      <w:rFonts w:ascii="Georgia" w:hAnsi="Georgia"/>
      <w:sz w:val="32"/>
      <w:color w:val="0C1A2E"/>
    </w:rPr>
  </w:style>
  <w:style w:type="paragraph" w:styleId="Heading2">
    <w:name w:val="heading 2"/>
    <w:basedOn w:val="Normal"/>
    <w:next w:val="Normal"/>
    <w:pPr>
      <w:keepNext/>
      <w:spacing w:before="200" w:after="60"/>
      <w:outlineLvl w:val="1"/>
    </w:pPr>
    <w:rPr>
      <w:b/>
      <w:sz w:val="23"/>
      <w:color w:val="9A3412"/>
    </w:rPr>
  </w:style>
  <w:style w:type="paragraph" w:styleId="Quote">
    <w:name w:val="Quote"/>
    <w:basedOn w:val="Normal"/>
    <w:pPr>
      <w:ind w:left="284"/>
      <w:pBdr>
        <w:left w:val="single" w:sz="18" w:space="8" w:color="EB6C36"/>
      </w:pBdr>
    </w:pPr>
    <w:rPr>
      <w:rFonts w:ascii="Georgia" w:hAnsi="Georgia"/>
      <w:i/>
      <w:sz w:val="26"/>
    </w:rPr>
  </w:style>
  <w:style w:type="paragraph" w:styleId="ListBullet">
    <w:name w:val="List Bullet"/>
    <w:basedOn w:val="Normal"/>
    <w:pPr>
      <w:spacing w:after="40"/>
    </w:pPr>
  </w:style>
  <w:style w:type="paragraph" w:styleId="Small">
    <w:name w:val="Small"/>
    <w:basedOn w:val="Normal"/>
    <w:rPr>
      <w:sz w:val="17"/>
      <w:color w:val="64748B"/>
    </w:rPr>
  </w:style>
  <w:style w:type="table" w:styleId="TableGrid">
    <w:name w:val="Table Grid"/>
    <w:tblP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00" w:type="dxa"/>
        <w:bottom w:w="60" w:type="dxa"/>
        <w:right w:w="10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core.xml><?xml version="1.0" encoding="utf-8"?>
<cp:coreProperties xmlns:cp="http://schemas.openxmlformats.org/package/2006/metadata/core-properties" xmlns:dc="http://purl.org/dc/elements/1.1/" xmlns:dcterms="http://purl.org/dc/terms/" xmlns:xsi="http://www.w3.org/2001/XMLSchema-instance">
  <dc:title>Motivation &amp; Recognition Guide</dc:title>
  <dc:creator>Eric Parker</dc:creator>
</cp:coreProperties>
</file>