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Title"/>
      </w:pPr>
      <w:r>
        <w:t xml:space="preserve">Prioritisation Board Guide</w:t>
      </w:r>
    </w:p>
    <w:p>
      <w:r>
        <w:rPr>
          <w:i/>
        </w:rPr>
        <w:t xml:space="preserve">How to compare options by value, effort and cost of delay, agree scope, and build a Now / Next / Later roadmap.</w:t>
      </w:r>
    </w:p>
    <w:p>
      <w:pPr>
        <w:pStyle w:val="Small"/>
      </w:pPr>
      <w:r>
        <w:t xml:space="preserve">Facilitator Run-Sheet · Plan · Value vs. Effort · Cost of Delay (WSJF) · MoSCoW · Now / Next / Later</w:t>
      </w:r>
    </w:p>
    <w:p>
      <w:pPr>
        <w:pStyle w:val="Quote"/>
      </w:pPr>
      <w:r>
        <w:rPr>
          <w:i/>
        </w:rPr>
        <w:t xml:space="preserve">“What does it cost us, each week, to not have this yet?”</w:t>
      </w:r>
    </w:p>
    <w:p>
      <w:r>
        <w:t xml:space="preserve">Most teams have more good ideas than capacity. The board combines four complementary techniques: a quick </w:t>
      </w:r>
      <w:r>
        <w:rPr>
          <w:b/>
        </w:rPr>
        <w:t xml:space="preserve">value vs. effort</w:t>
      </w:r>
      <w:r>
        <w:t xml:space="preserve"> grid to sort many items, </w:t>
      </w:r>
      <w:r>
        <w:rPr>
          <w:b/>
        </w:rPr>
        <w:t xml:space="preserve">cost of delay</w:t>
      </w:r>
      <w:r>
        <w:t xml:space="preserve"> to rank the top few with numbers (CD3 from Don Reinertsen, which SAFe calls </w:t>
      </w:r>
      <w:r>
        <w:rPr>
          <w:b/>
        </w:rPr>
        <w:t xml:space="preserve">WSJF</w:t>
      </w:r>
      <w:r>
        <w:t xml:space="preserve">, Weighted Shortest Job First), </w:t>
      </w:r>
      <w:r>
        <w:rPr>
          <w:b/>
        </w:rPr>
        <w:t xml:space="preserve">MoSCoW</w:t>
      </w:r>
      <w:r>
        <w:t xml:space="preserve"> to agree scope for a fixed date, and a </w:t>
      </w:r>
      <w:r>
        <w:rPr>
          <w:b/>
        </w:rPr>
        <w:t xml:space="preserve">Now / Next / Later</w:t>
      </w:r>
      <w:r>
        <w:t xml:space="preserve"> roadmap to share the result. Use the parts you need: a quick sort might only use the grid and the roadmap.</w:t>
      </w:r>
    </w:p>
    <w:tbl>
      <w:tblPr>
        <w:tblStyle w:val="TableGrid"/>
        <w:tblW w:w="0" w:type="auto"/>
      </w:tblPr>
      <w:tblGrid>
        <w:gridCol w:w="2250"/>
        <w:gridCol w:w="2250"/>
        <w:gridCol w:w="2250"/>
        <w:gridCol w:w="2250"/>
      </w:tblGrid>
      <w:tr>
        <w:trPr>
          <w:tblHeader/>
        </w:trPr>
        <w:tc>
          <w:tcPr>
            <w:tcW w:w="2250" w:type="dxa"/>
            <w:shd w:val="clear" w:color="auto" w:fill="EEF2F6"/>
          </w:tcPr>
          <w:p>
            <w:r>
              <w:rPr>
                <w:b/>
              </w:rPr>
              <w:t xml:space="preserve">Duration</w:t>
            </w:r>
          </w:p>
        </w:tc>
        <w:tc>
          <w:tcPr>
            <w:tcW w:w="2250" w:type="dxa"/>
            <w:shd w:val="clear" w:color="auto" w:fill="EEF2F6"/>
          </w:tcPr>
          <w:p>
            <w:r>
              <w:rPr>
                <w:b/>
              </w:rPr>
              <w:t xml:space="preserve">Group</w:t>
            </w:r>
          </w:p>
        </w:tc>
        <w:tc>
          <w:tcPr>
            <w:tcW w:w="2250" w:type="dxa"/>
            <w:shd w:val="clear" w:color="auto" w:fill="EEF2F6"/>
          </w:tcPr>
          <w:p>
            <w:r>
              <w:rPr>
                <w:b/>
              </w:rPr>
              <w:t xml:space="preserve">Use when</w:t>
            </w:r>
          </w:p>
        </w:tc>
        <w:tc>
          <w:tcPr>
            <w:tcW w:w="2250" w:type="dxa"/>
            <w:shd w:val="clear" w:color="auto" w:fill="EEF2F6"/>
          </w:tcPr>
          <w:p>
            <w:r>
              <w:rPr>
                <w:b/>
              </w:rPr>
              <w:t xml:space="preserve">Output</w:t>
            </w:r>
          </w:p>
        </w:tc>
      </w:tr>
      <w:tr>
        <w:tc>
          <w:tcPr>
            <w:tcW w:w="2250" w:type="dxa"/>
          </w:tcPr>
          <w:p>
            <w:r>
              <w:t xml:space="preserve">60–120 min</w:t>
            </w:r>
          </w:p>
        </w:tc>
        <w:tc>
          <w:tcPr>
            <w:tcW w:w="2250" w:type="dxa"/>
          </w:tcPr>
          <w:p>
            <w:r>
              <w:t xml:space="preserve">PO / PM, team reps,</w:t>
            </w:r>
            <w:r>
              <w:br/>
            </w:r>
            <w:r>
              <w:t xml:space="preserve">stakeholders</w:t>
            </w:r>
          </w:p>
        </w:tc>
        <w:tc>
          <w:tcPr>
            <w:tcW w:w="2250" w:type="dxa"/>
          </w:tcPr>
          <w:p>
            <w:r>
              <w:t xml:space="preserve">Quarterly planning, or</w:t>
            </w:r>
            <w:r>
              <w:br/>
            </w:r>
            <w:r>
              <w:t xml:space="preserve">too many priorities</w:t>
            </w:r>
          </w:p>
        </w:tc>
        <w:tc>
          <w:tcPr>
            <w:tcW w:w="2250" w:type="dxa"/>
          </w:tcPr>
          <w:p>
            <w:r>
              <w:t xml:space="preserve">A ranked list &amp;</w:t>
            </w:r>
            <w:r>
              <w:br/>
            </w:r>
            <w:r>
              <w:t xml:space="preserve">a roadmap</w:t>
            </w:r>
          </w:p>
        </w:tc>
      </w:tr>
    </w:tbl>
    <w:p/>
    <w:p>
      <w:pPr>
        <w:pStyle w:val="Heading1"/>
      </w:pPr>
      <w:r>
        <w:t xml:space="preserve">Before the session</w:t>
      </w:r>
    </w:p>
    <w:p>
      <w:pPr>
        <w:pStyle w:val="ListBullet"/>
        <w:numPr>
          <w:ilvl w:val="0"/>
          <w:numId w:val="1"/>
        </w:numPr>
      </w:pPr>
      <w:r>
        <w:t xml:space="preserve">Print the board at A3 or 11×17 (Tabloid), or larger, or load the SVG as a digital background</w:t>
      </w:r>
    </w:p>
    <w:p>
      <w:pPr>
        <w:pStyle w:val="ListBullet"/>
        <w:numPr>
          <w:ilvl w:val="0"/>
          <w:numId w:val="1"/>
        </w:numPr>
      </w:pPr>
      <w:r>
        <w:t xml:space="preserve">List the candidate items in advance: epics, features or outcomes, one per sticky</w:t>
      </w:r>
    </w:p>
    <w:p>
      <w:pPr>
        <w:pStyle w:val="ListBullet"/>
        <w:numPr>
          <w:ilvl w:val="0"/>
          <w:numId w:val="1"/>
        </w:numPr>
      </w:pPr>
      <w:r>
        <w:t xml:space="preserve">Bring any data on value: customer demand, revenue, risk, deadlines</w:t>
      </w:r>
    </w:p>
    <w:p>
      <w:pPr>
        <w:pStyle w:val="ListBullet"/>
        <w:numPr>
          <w:ilvl w:val="0"/>
          <w:numId w:val="1"/>
        </w:numPr>
      </w:pPr>
      <w:r>
        <w:t xml:space="preserve">Invite the people who decide priorities, and team members who can judge effort</w:t>
      </w:r>
    </w:p>
    <w:p>
      <w:pPr>
        <w:pStyle w:val="ListBullet"/>
        <w:numPr>
          <w:ilvl w:val="0"/>
          <w:numId w:val="1"/>
        </w:numPr>
      </w:pPr>
      <w:r>
        <w:t xml:space="preserve">Agree who makes the final call if the group can't agree (usually the product owner)</w:t>
      </w:r>
    </w:p>
    <w:p>
      <w:pPr>
        <w:pStyle w:val="Heading1"/>
      </w:pPr>
      <w:r>
        <w:t xml:space="preserve">Agenda &amp; run-sheet</w:t>
      </w:r>
    </w:p>
    <w:tbl>
      <w:tblPr>
        <w:tblStyle w:val="TableGrid"/>
        <w:tblW w:w="0" w:type="auto"/>
      </w:tblPr>
      <w:tblGrid>
        <w:gridCol w:w="1300"/>
        <w:gridCol w:w="2300"/>
        <w:gridCol w:w="5400"/>
      </w:tblGrid>
      <w:tr>
        <w:trPr>
          <w:tblHeader/>
        </w:trPr>
        <w:tc>
          <w:tcPr>
            <w:tcW w:w="1300" w:type="dxa"/>
            <w:shd w:val="clear" w:color="auto" w:fill="EEF2F6"/>
          </w:tcPr>
          <w:p>
            <w:r>
              <w:rPr>
                <w:b/>
              </w:rPr>
              <w:t xml:space="preserve">Time</w:t>
            </w:r>
          </w:p>
        </w:tc>
        <w:tc>
          <w:tcPr>
            <w:tcW w:w="2300" w:type="dxa"/>
            <w:shd w:val="clear" w:color="auto" w:fill="EEF2F6"/>
          </w:tcPr>
          <w:p>
            <w:r>
              <w:rPr>
                <w:b/>
              </w:rPr>
              <w:t xml:space="preserve">Section</w:t>
            </w:r>
          </w:p>
        </w:tc>
        <w:tc>
          <w:tcPr>
            <w:tcW w:w="5400" w:type="dxa"/>
            <w:shd w:val="clear" w:color="auto" w:fill="EEF2F6"/>
          </w:tcPr>
          <w:p>
            <w:r>
              <w:rPr>
                <w:b/>
              </w:rPr>
              <w:t xml:space="preserve">Facilitator notes</w:t>
            </w:r>
          </w:p>
        </w:tc>
      </w:tr>
      <w:tr>
        <w:tc>
          <w:tcPr>
            <w:tcW w:w="1300" w:type="dxa"/>
          </w:tcPr>
          <w:p>
            <w:r>
              <w:t xml:space="preserve">0–10</w:t>
            </w:r>
          </w:p>
        </w:tc>
        <w:tc>
          <w:tcPr>
            <w:tcW w:w="2300" w:type="dxa"/>
          </w:tcPr>
          <w:p>
            <w:r>
              <w:t xml:space="preserve">Frame</w:t>
            </w:r>
          </w:p>
        </w:tc>
        <w:tc>
          <w:tcPr>
            <w:tcW w:w="5400" w:type="dxa"/>
          </w:tcPr>
          <w:p>
            <w:r>
              <w:t xml:space="preserve">Recap the product goal or vision. Agree the scope: which items, and for what time horizon.</w:t>
            </w:r>
          </w:p>
        </w:tc>
      </w:tr>
      <w:tr>
        <w:tc>
          <w:tcPr>
            <w:tcW w:w="1300" w:type="dxa"/>
          </w:tcPr>
          <w:p>
            <w:r>
              <w:t xml:space="preserve">10–35</w:t>
            </w:r>
          </w:p>
        </w:tc>
        <w:tc>
          <w:tcPr>
            <w:tcW w:w="2300" w:type="dxa"/>
          </w:tcPr>
          <w:p>
            <w:r>
              <w:t xml:space="preserve">1 · Value vs. Effort</w:t>
            </w:r>
          </w:p>
        </w:tc>
        <w:tc>
          <w:tcPr>
            <w:tcW w:w="5400" w:type="dxa"/>
          </w:tcPr>
          <w:p>
            <w:r>
              <w:t xml:space="preserve">Place each sticky on the grid. Compare items to each other, not to an absolute scale. Discuss the outliers.</w:t>
            </w:r>
          </w:p>
        </w:tc>
      </w:tr>
      <w:tr>
        <w:tc>
          <w:tcPr>
            <w:tcW w:w="1300" w:type="dxa"/>
          </w:tcPr>
          <w:p>
            <w:r>
              <w:t xml:space="preserve">35–60</w:t>
            </w:r>
          </w:p>
        </w:tc>
        <w:tc>
          <w:tcPr>
            <w:tcW w:w="2300" w:type="dxa"/>
          </w:tcPr>
          <w:p>
            <w:r>
              <w:t xml:space="preserve">2 · Cost of Delay (WSJF)</w:t>
            </w:r>
          </w:p>
        </w:tc>
        <w:tc>
          <w:tcPr>
            <w:tcW w:w="5400" w:type="dxa"/>
          </w:tcPr>
          <w:p>
            <w:r>
              <w:t xml:space="preserve">Take the top 5–8 items. Score one column at a time across all items: value, then time criticality, then risk reduction. The smallest item in each column scores 1. Add them up for the cost of delay, divide by job size and rank.</w:t>
            </w:r>
          </w:p>
        </w:tc>
      </w:tr>
      <w:tr>
        <w:tc>
          <w:tcPr>
            <w:tcW w:w="1300" w:type="dxa"/>
          </w:tcPr>
          <w:p>
            <w:r>
              <w:t xml:space="preserve">60–75</w:t>
            </w:r>
          </w:p>
        </w:tc>
        <w:tc>
          <w:tcPr>
            <w:tcW w:w="2300" w:type="dxa"/>
          </w:tcPr>
          <w:p>
            <w:r>
              <w:t xml:space="preserve">3 · MoSCoW</w:t>
            </w:r>
          </w:p>
        </w:tc>
        <w:tc>
          <w:tcPr>
            <w:tcW w:w="5400" w:type="dxa"/>
          </w:tcPr>
          <w:p>
            <w:r>
              <w:t xml:space="preserve">If there's a fixed date or release, sort the ranked items into Must, Should, Could and Won't (this time).</w:t>
            </w:r>
          </w:p>
        </w:tc>
      </w:tr>
      <w:tr>
        <w:tc>
          <w:tcPr>
            <w:tcW w:w="1300" w:type="dxa"/>
          </w:tcPr>
          <w:p>
            <w:r>
              <w:t xml:space="preserve">75–100</w:t>
            </w:r>
          </w:p>
        </w:tc>
        <w:tc>
          <w:tcPr>
            <w:tcW w:w="2300" w:type="dxa"/>
          </w:tcPr>
          <w:p>
            <w:r>
              <w:t xml:space="preserve">4 · Now · Next · Later</w:t>
            </w:r>
          </w:p>
        </w:tc>
        <w:tc>
          <w:tcPr>
            <w:tcW w:w="5400" w:type="dxa"/>
          </w:tcPr>
          <w:p>
            <w:r>
              <w:t xml:space="preserve">Place the items on the roadmap and write the outcome for each column. Only Now is committed.</w:t>
            </w:r>
          </w:p>
        </w:tc>
      </w:tr>
      <w:tr>
        <w:tc>
          <w:tcPr>
            <w:tcW w:w="1300" w:type="dxa"/>
          </w:tcPr>
          <w:p>
            <w:r>
              <w:t xml:space="preserve">100–110</w:t>
            </w:r>
          </w:p>
        </w:tc>
        <w:tc>
          <w:tcPr>
            <w:tcW w:w="2300" w:type="dxa"/>
          </w:tcPr>
          <w:p>
            <w:r>
              <w:t xml:space="preserve">Close</w:t>
            </w:r>
          </w:p>
        </w:tc>
        <w:tc>
          <w:tcPr>
            <w:tcW w:w="5400" w:type="dxa"/>
          </w:tcPr>
          <w:p>
            <w:r>
              <w:t xml:space="preserve">Read the roadmap back. Confirm the decision owner agrees, and who will share it with stakeholders.</w:t>
            </w:r>
          </w:p>
        </w:tc>
      </w:tr>
    </w:tbl>
    <w:p/>
    <w:p>
      <w:pPr>
        <w:pStyle w:val="Heading1"/>
      </w:pPr>
      <w:r>
        <w:t xml:space="preserve">Using each technique well</w:t>
      </w:r>
    </w:p>
    <w:p>
      <w:r>
        <w:t xml:space="preserve">What each part is for, and what to watch for.</w:t>
      </w:r>
    </w:p>
    <w:p>
      <w:pPr>
        <w:pStyle w:val="Heading2"/>
      </w:pPr>
      <w:r>
        <w:t xml:space="preserve">1 · Value vs. Effort</w:t>
      </w:r>
    </w:p>
    <w:p>
      <w:pPr>
        <w:pStyle w:val="ListBullet"/>
        <w:numPr>
          <w:ilvl w:val="0"/>
          <w:numId w:val="1"/>
        </w:numPr>
      </w:pPr>
      <w:r>
        <w:t xml:space="preserve">Relative placement is enough</w:t>
      </w:r>
    </w:p>
    <w:p>
      <w:pPr>
        <w:pStyle w:val="ListBullet"/>
        <w:numPr>
          <w:ilvl w:val="0"/>
          <w:numId w:val="1"/>
        </w:numPr>
      </w:pPr>
      <w:r>
        <w:t xml:space="preserve">Big bets: slice before committing</w:t>
      </w:r>
    </w:p>
    <w:p>
      <w:pPr>
        <w:pStyle w:val="ListBullet"/>
        <w:numPr>
          <w:ilvl w:val="0"/>
          <w:numId w:val="1"/>
        </w:numPr>
      </w:pPr>
      <w:r>
        <w:t xml:space="preserve">Drop the money pits</w:t>
      </w:r>
    </w:p>
    <w:p>
      <w:pPr>
        <w:pStyle w:val="Heading2"/>
      </w:pPr>
      <w:r>
        <w:t xml:space="preserve">2 · Cost of Delay (WSJF)</w:t>
      </w:r>
    </w:p>
    <w:p>
      <w:pPr>
        <w:pStyle w:val="ListBullet"/>
        <w:numPr>
          <w:ilvl w:val="0"/>
          <w:numId w:val="1"/>
        </w:numPr>
      </w:pPr>
      <w:r>
        <w:t xml:space="preserve">One column at a time, across all items</w:t>
      </w:r>
    </w:p>
    <w:p>
      <w:pPr>
        <w:pStyle w:val="ListBullet"/>
        <w:numPr>
          <w:ilvl w:val="0"/>
          <w:numId w:val="1"/>
        </w:numPr>
      </w:pPr>
      <w:r>
        <w:t xml:space="preserve">Smallest item scores 1 in each column</w:t>
      </w:r>
    </w:p>
    <w:p>
      <w:pPr>
        <w:pStyle w:val="ListBullet"/>
        <w:numPr>
          <w:ilvl w:val="0"/>
          <w:numId w:val="1"/>
        </w:numPr>
      </w:pPr>
      <w:r>
        <w:t xml:space="preserve">CoD / job size gives the order</w:t>
      </w:r>
    </w:p>
    <w:p>
      <w:pPr>
        <w:pStyle w:val="Heading2"/>
      </w:pPr>
      <w:r>
        <w:t xml:space="preserve">3 · MoSCoW</w:t>
      </w:r>
    </w:p>
    <w:p>
      <w:pPr>
        <w:pStyle w:val="ListBullet"/>
        <w:numPr>
          <w:ilvl w:val="0"/>
          <w:numId w:val="1"/>
        </w:numPr>
      </w:pPr>
      <w:r>
        <w:t xml:space="preserve">Musts should be about 60% of capacity</w:t>
      </w:r>
    </w:p>
    <w:p>
      <w:pPr>
        <w:pStyle w:val="ListBullet"/>
        <w:numPr>
          <w:ilvl w:val="0"/>
          <w:numId w:val="1"/>
        </w:numPr>
      </w:pPr>
      <w:r>
        <w:t xml:space="preserve">Won't means not this time</w:t>
      </w:r>
    </w:p>
    <w:p>
      <w:pPr>
        <w:pStyle w:val="ListBullet"/>
        <w:numPr>
          <w:ilvl w:val="0"/>
          <w:numId w:val="1"/>
        </w:numPr>
      </w:pPr>
      <w:r>
        <w:t xml:space="preserve">Needs a fixed date or scope</w:t>
      </w:r>
    </w:p>
    <w:p>
      <w:pPr>
        <w:pStyle w:val="Heading2"/>
      </w:pPr>
      <w:r>
        <w:t xml:space="preserve">4 · Now · Next · Later</w:t>
      </w:r>
    </w:p>
    <w:p>
      <w:pPr>
        <w:pStyle w:val="ListBullet"/>
        <w:numPr>
          <w:ilvl w:val="0"/>
          <w:numId w:val="1"/>
        </w:numPr>
      </w:pPr>
      <w:r>
        <w:t xml:space="preserve">Outcomes, not dates</w:t>
      </w:r>
    </w:p>
    <w:p>
      <w:pPr>
        <w:pStyle w:val="ListBullet"/>
        <w:numPr>
          <w:ilvl w:val="0"/>
          <w:numId w:val="1"/>
        </w:numPr>
      </w:pPr>
      <w:r>
        <w:t xml:space="preserve">Now is committed; Later is options</w:t>
      </w:r>
    </w:p>
    <w:p>
      <w:pPr>
        <w:pStyle w:val="ListBullet"/>
        <w:numPr>
          <w:ilvl w:val="0"/>
          <w:numId w:val="1"/>
        </w:numPr>
      </w:pPr>
      <w:r>
        <w:t xml:space="preserve">Keep Next short</w:t>
      </w:r>
    </w:p>
    <w:p>
      <w:pPr>
        <w:pStyle w:val="Heading1"/>
      </w:pPr>
      <w:r>
        <w:t xml:space="preserve">Facilitation tips</w:t>
      </w:r>
    </w:p>
    <w:p>
      <w:r>
        <w:rPr>
          <w:b/>
        </w:rPr>
        <w:t xml:space="preserve">Compare, don't score in isolation. </w:t>
      </w:r>
      <w:r>
        <w:t xml:space="preserve">Ask “is this more or less valuable than that?” Relative judgements are faster and more reliable.</w:t>
      </w:r>
    </w:p>
    <w:p>
      <w:r>
        <w:rPr>
          <w:b/>
        </w:rPr>
        <w:t xml:space="preserve">Make delay visible. </w:t>
      </w:r>
      <w:r>
        <w:t xml:space="preserve">Ask what it costs each week not to have an item. Time-critical work often moves up.</w:t>
      </w:r>
    </w:p>
    <w:p>
      <w:r>
        <w:rPr>
          <w:b/>
        </w:rPr>
        <w:t xml:space="preserve">Slice the big bets. </w:t>
      </w:r>
      <w:r>
        <w:t xml:space="preserve">High-value, high-effort items usually hide a smaller, high-value slice. Use the Epic Canvas or Story Map.</w:t>
      </w:r>
    </w:p>
    <w:p>
      <w:r>
        <w:rPr>
          <w:b/>
        </w:rPr>
        <w:t xml:space="preserve">Protect the Could list. </w:t>
      </w:r>
      <w:r>
        <w:t xml:space="preserve">If everything is a Must, MoSCoW stops working. Push back until Musts fit comfortably.</w:t>
      </w:r>
    </w:p>
    <w:p>
      <w:r>
        <w:rPr>
          <w:b/>
        </w:rPr>
        <w:t xml:space="preserve">One decision owner. </w:t>
      </w:r>
      <w:r>
        <w:t xml:space="preserve">The group advises; one person decides. Say who before you start.</w:t>
      </w:r>
    </w:p>
    <w:p>
      <w:r>
        <w:rPr>
          <w:b/>
        </w:rPr>
        <w:t xml:space="preserve">Roadmaps change. </w:t>
      </w:r>
      <w:r>
        <w:t xml:space="preserve">Review Now / Next / Later every iteration or month. Moving items is learning, not failure.</w:t>
      </w:r>
    </w:p>
    <w:p>
      <w:r>
        <w:rPr>
          <w:b/>
        </w:rPr>
        <w:t xml:space="preserve">Other scoring models. </w:t>
      </w:r>
      <w:r>
        <w:t xml:space="preserve">RICE (reach × impact × confidence, divided by effort) suits teams with usage data; the Kano model sorts features into basics, performance and delighters. Pick one model and use it consistently.</w:t>
      </w:r>
    </w:p>
    <w:p>
      <w:r>
        <w:rPr>
          <w:b/>
        </w:rPr>
        <w:t xml:space="preserve">Common pitfalls: </w:t>
      </w:r>
      <w:r>
        <w:t xml:space="preserve">scoring all of one item's columns before moving to the next (score one column across every item instead); scoring items in isolation; letting the loudest stakeholder set the order; everything as a Must; a roadmap full of dates and features instead of outcomes; using cost of delay for 50 items; never revisiting it.</w:t>
      </w:r>
    </w:p>
    <w:p>
      <w:pPr>
        <w:pStyle w:val="Heading1"/>
      </w:pPr>
      <w:r>
        <w:t xml:space="preserve">After the session</w:t>
      </w:r>
    </w:p>
    <w:p>
      <w:r>
        <w:rPr>
          <w:b/>
        </w:rPr>
        <w:t xml:space="preserve">Straight away: </w:t>
      </w:r>
      <w:r>
        <w:t xml:space="preserve">Photograph the board. Update the backlog order and the roadmap in your tools.</w:t>
      </w:r>
    </w:p>
    <w:p>
      <w:r>
        <w:rPr>
          <w:b/>
        </w:rPr>
        <w:t xml:space="preserve">Share it: </w:t>
      </w:r>
      <w:r>
        <w:t xml:space="preserve">Walk stakeholders through the roadmap and the reasons for the order.</w:t>
      </w:r>
    </w:p>
    <w:p>
      <w:r>
        <w:rPr>
          <w:b/>
        </w:rPr>
        <w:t xml:space="preserve">Next: </w:t>
      </w:r>
      <w:r>
        <w:t xml:space="preserve">Break the Now items down with the Epic Canvas and Story Map, ready for Sprint Planning.</w:t>
      </w:r>
    </w:p>
    <w:p>
      <w:r>
        <w:rPr>
          <w:b/>
        </w:rPr>
        <w:t xml:space="preserve">Regularly: </w:t>
      </w:r>
      <w:r>
        <w:t xml:space="preserve">Revisit the order at each Sprint Review, when feedback and data change the picture.</w:t>
      </w:r>
    </w:p>
    <w:p>
      <w:pPr>
        <w:pStyle w:val="Heading1"/>
      </w:pPr>
      <w:r>
        <w:t xml:space="preserve">How it fits the toolkit</w:t>
      </w:r>
    </w:p>
    <w:p>
      <w:r>
        <w:t xml:space="preserve">The lifecycle tools follow the work from start to finish: a </w:t>
      </w:r>
      <w:r>
        <w:t xml:space="preserve">Team Charter</w:t>
      </w:r>
      <w:r>
        <w:t xml:space="preserve"> when a team forms, a </w:t>
      </w:r>
      <w:r>
        <w:t xml:space="preserve">Product Vision Board</w:t>
      </w:r>
      <w:r>
        <w:t xml:space="preserve"> to agree why the product exists, the </w:t>
      </w:r>
      <w:r>
        <w:t xml:space="preserve">Prioritisation Board</w:t>
      </w:r>
      <w:r>
        <w:t xml:space="preserve"> to decide what comes first, then </w:t>
      </w:r>
      <w:r>
        <w:t xml:space="preserve">Sprint Planning</w:t>
      </w:r>
      <w:r>
        <w:t xml:space="preserve"> and </w:t>
      </w:r>
      <w:r>
        <w:t xml:space="preserve">Sprint Review</w:t>
      </w:r>
      <w:r>
        <w:t xml:space="preserve"> each iteration, with a retrospective from the Retro Kit to close the loop. The break-down tools (Epic Canvas, Story Map, Story Splitting, Example Mapping) sit between vision and planning.</w:t>
      </w:r>
    </w:p>
    <w:p>
      <w:pPr>
        <w:pStyle w:val="Heading1"/>
      </w:pPr>
      <w:r>
        <w:t xml:space="preserve">Recreate it in your whiteboard</w:t>
      </w:r>
    </w:p>
    <w:p>
      <w:pPr>
        <w:pStyle w:val="Small"/>
      </w:pPr>
      <w:r>
        <w:t xml:space="preserve">Paste this into your whiteboard's AI assistant (for example Miro AI or Atlassian Rovo) or a general assistant, to get an editable, native version of the board. Results vary by tool, so expect to tidy it up. For an exact copy, import the SVG as a locked background instead.</w:t>
      </w:r>
    </w:p>
    <w:p>
      <w:r>
        <w:t xml:space="preserve">Create an editable whiteboard for “Prioritisation Board”, a workshop board.</w:t>
      </w:r>
    </w:p>
    <w:p>
      <w:r>
        <w:t xml:space="preserve">Purpose: Compare value and effort, put a number on the cost of delay, agree what's in, and lay out Now, Next and Later.</w:t>
      </w:r>
    </w:p>
    <w:p>
      <w:r>
        <w:t xml:space="preserve">Layout: a wide landscape board (about 16:11). Make one frame per section below, placed as described. In each frame, add the section name as a heading, then its content as short text labels or empty fields to fill in. Leave space in each frame for sticky notes. Use the header colour given. Keep the wording as written and don't add extra content.</w:t>
      </w:r>
    </w:p>
    <w:p>
      <w:r>
        <w:t xml:space="preserve">Header fields to fill in: Product / Scope, Date</w:t>
      </w:r>
    </w:p>
    <w:p>
      <w:r>
        <w:t xml:space="preserve">Sections:</w:t>
      </w:r>
    </w:p>
    <w:p>
      <w:r>
        <w:t xml:space="preserve">1. Value vs. Effort: top left, about 50% wide and 65% tall; header colour blue.</w:t>
      </w:r>
    </w:p>
    <w:p>
      <w:r>
        <w:t xml:space="preserve">   Subtitle: Place each item on the grid</w:t>
      </w:r>
    </w:p>
    <w:p>
      <w:r>
        <w:t xml:space="preserve">   Content: Quick Wins · Big Bets · High value · low effort · do these first · High value · high effort · slice them first · Fill-ins · Money Pits · Low value · low effort · if there's spare time · Low value · high effort · avoid or drop · Low effort: · Effort →: · High effort:</w:t>
      </w:r>
    </w:p>
    <w:p>
      <w:r>
        <w:t xml:space="preserve">2. Cost of Delay · WSJF: top right, about 50% wide and 30% tall; header colour purple.</w:t>
      </w:r>
    </w:p>
    <w:p>
      <w:r>
        <w:t xml:space="preserve">   Subtitle: CD3 · called WSJF in SAFe · highest score first</w:t>
      </w:r>
    </w:p>
    <w:p>
      <w:r>
        <w:t xml:space="preserve">   Content: Score one column at a time across all items: 1, 2, 3, 5, 8, 13 (smallest item = 1). CoD = value + time + risk. · Item: · Value: · Time: · Risk / opp.: · CoD: · Job size: · CoD / size: · Rank:</w:t>
      </w:r>
    </w:p>
    <w:p>
      <w:r>
        <w:t xml:space="preserve">3. MoSCoW: middle right, about 50% wide and 30% tall; header colour orange.</w:t>
      </w:r>
    </w:p>
    <w:p>
      <w:r>
        <w:t xml:space="preserve">   Subtitle: For a fixed date or scope</w:t>
      </w:r>
    </w:p>
    <w:p>
      <w:r>
        <w:t xml:space="preserve">   Content: Must · Should · Could · Won't (this time) · Fails without it · Important, not vital · Nice if there's time · Agreed out</w:t>
      </w:r>
    </w:p>
    <w:p>
      <w:r>
        <w:t xml:space="preserve">4. Now · Next · Later: bottom full width, about 100% wide and 35% tall; header colour dark green.</w:t>
      </w:r>
    </w:p>
    <w:p>
      <w:r>
        <w:t xml:space="preserve">   Subtitle: A roadmap of outcomes, not dates</w:t>
      </w:r>
    </w:p>
    <w:p>
      <w:r>
        <w:t xml:space="preserve">   Content: Now: · Committed and in progress · Next: · Planned and being shaped · Later: · Ideas and options, not committed · Outcome: (×3)</w:t>
      </w:r>
    </w:p>
    <w:p>
      <w:r>
        <w:t xml:space="preserve">Footer questions: “What does it cost us, each week, to not have this yet?” “If we could only do one thing this quarter, what would it be?”</w:t>
      </w:r>
    </w:p>
    <w:p>
      <w:r>
        <w:t xml:space="preserve">Original board for reference: https://eparker71.github.io/better-delivery-toolkit/boards/prioritisation-board.html</w:t>
      </w:r>
    </w:p>
    <w:p>
      <w:pPr>
        <w:pStyle w:val="Small"/>
      </w:pPr>
      <w:r>
        <w:t xml:space="preserve">Boards: https://eparker71.github.io/better-delivery-toolkit/boards/prioritisation-board.html  ·  Online guide: https://eparker71.github.io/better-delivery-toolkit/guides/facilitator-guide-prioritisation.html</w:t>
      </w:r>
    </w:p>
    <w:p>
      <w:pPr>
        <w:pStyle w:val="Small"/>
      </w:pPr>
      <w:r>
        <w:t xml:space="preserve">© 2026 Eric Parker · CC BY 4.0 · eparker71.github.io/better-delivery-toolkit · Adapt it freely; please keep the credit and say what you changed.</w:t>
      </w:r>
    </w:p>
    <w:sectPr>
      <w:pgSz w:w="11906" w:h="16838"/>
      <w:pgMar w:top="1134" w:right="1134" w:bottom="1134" w:left="1134" w:header="567" w:footer="567" w:gutter="0"/>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ind w:left="567" w:hanging="283"/>
      </w:pPr>
    </w:lvl>
  </w:abstractNum>
  <w:num w:numId="1">
    <w:abstractNumId w:val="0"/>
  </w:num>
</w:numbering>
</file>

<file path=word/styles.xml><?xml version="1.0" encoding="utf-8"?>
<w:styles xmlns:w="http://schemas.openxmlformats.org/wordprocessingml/2006/main">
  <w:docDefaults>
    <w:rPrDefault>
      <w:rPr>
        <w:rFonts w:ascii="Calibri" w:hAnsi="Calibri" w:cs="Calibri"/>
        <w:sz w:val="21"/>
        <w:color w:val="1E293B"/>
      </w:rPr>
    </w:rPrDefault>
    <w:pPrDefault>
      <w:pPr>
        <w:spacing w:after="120" w:line="276" w:lineRule="auto"/>
      </w:pPr>
    </w:pPrDefault>
  </w:docDefaults>
  <w:style w:type="paragraph" w:default="1" w:styleId="Normal">
    <w:name w:val="Normal"/>
  </w:style>
  <w:style w:type="paragraph" w:styleId="Title">
    <w:name w:val="Title"/>
    <w:basedOn w:val="Normal"/>
    <w:next w:val="Normal"/>
    <w:pPr>
      <w:spacing w:after="60"/>
    </w:pPr>
    <w:rPr>
      <w:rFonts w:ascii="Georgia" w:hAnsi="Georgia"/>
      <w:sz w:val="48"/>
      <w:color w:val="0C1A2E"/>
    </w:rPr>
  </w:style>
  <w:style w:type="paragraph" w:styleId="Heading1">
    <w:name w:val="heading 1"/>
    <w:basedOn w:val="Normal"/>
    <w:next w:val="Normal"/>
    <w:pPr>
      <w:keepNext/>
      <w:spacing w:before="320" w:after="100"/>
      <w:outlineLvl w:val="0"/>
    </w:pPr>
    <w:rPr>
      <w:rFonts w:ascii="Georgia" w:hAnsi="Georgia"/>
      <w:sz w:val="32"/>
      <w:color w:val="0C1A2E"/>
    </w:rPr>
  </w:style>
  <w:style w:type="paragraph" w:styleId="Heading2">
    <w:name w:val="heading 2"/>
    <w:basedOn w:val="Normal"/>
    <w:next w:val="Normal"/>
    <w:pPr>
      <w:keepNext/>
      <w:spacing w:before="200" w:after="60"/>
      <w:outlineLvl w:val="1"/>
    </w:pPr>
    <w:rPr>
      <w:b/>
      <w:sz w:val="23"/>
      <w:color w:val="9A3412"/>
    </w:rPr>
  </w:style>
  <w:style w:type="paragraph" w:styleId="Quote">
    <w:name w:val="Quote"/>
    <w:basedOn w:val="Normal"/>
    <w:pPr>
      <w:ind w:left="284"/>
      <w:pBdr>
        <w:left w:val="single" w:sz="18" w:space="8" w:color="EB6C36"/>
      </w:pBdr>
    </w:pPr>
    <w:rPr>
      <w:rFonts w:ascii="Georgia" w:hAnsi="Georgia"/>
      <w:i/>
      <w:sz w:val="26"/>
    </w:rPr>
  </w:style>
  <w:style w:type="paragraph" w:styleId="ListBullet">
    <w:name w:val="List Bullet"/>
    <w:basedOn w:val="Normal"/>
    <w:pPr>
      <w:spacing w:after="40"/>
    </w:pPr>
  </w:style>
  <w:style w:type="paragraph" w:styleId="Small">
    <w:name w:val="Small"/>
    <w:basedOn w:val="Normal"/>
    <w:rPr>
      <w:sz w:val="17"/>
      <w:color w:val="64748B"/>
    </w:rPr>
  </w:style>
  <w:style w:type="table" w:styleId="TableGrid">
    <w:name w:val="Table Grid"/>
    <w:tblP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00" w:type="dxa"/>
        <w:bottom w:w="60" w:type="dxa"/>
        <w:right w:w="100"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core.xml><?xml version="1.0" encoding="utf-8"?>
<cp:coreProperties xmlns:cp="http://schemas.openxmlformats.org/package/2006/metadata/core-properties" xmlns:dc="http://purl.org/dc/elements/1.1/" xmlns:dcterms="http://purl.org/dc/terms/" xmlns:xsi="http://www.w3.org/2001/XMLSchema-instance">
  <dc:title>Prioritisation Board Guide</dc:title>
  <dc:creator>Eric Parker</dc:creator>
</cp:coreProperties>
</file>