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docProps/core.xml" ContentType="application/vnd.openxmlformats-package.core-properti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 Id="rId2" Type="http://schemas.openxmlformats.org/package/2006/relationships/metadata/core-properties" Target="docProps/core.xml"/>
</Relationships>
</file>

<file path=word/document.xml><?xml version="1.0" encoding="utf-8"?>
<w:document xmlns:w="http://schemas.openxmlformats.org/wordprocessingml/2006/main">
  <w:body>
    <w:p>
      <w:pPr>
        <w:pStyle w:val="Title"/>
      </w:pPr>
      <w:r>
        <w:t xml:space="preserve">Now · Next · Later Roadmap Guide</w:t>
      </w:r>
    </w:p>
    <w:p>
      <w:r>
        <w:rPr>
          <w:i/>
        </w:rPr>
        <w:t xml:space="preserve">How to build a roadmap that ties work to goals and shows certainty honestly, without promising dates you can't keep.</w:t>
      </w:r>
    </w:p>
    <w:p>
      <w:pPr>
        <w:pStyle w:val="Small"/>
      </w:pPr>
      <w:r>
        <w:t xml:space="preserve">Facilitator Run-Sheet · Decide What to Build · Now / Next / Later</w:t>
      </w:r>
    </w:p>
    <w:p>
      <w:pPr>
        <w:pStyle w:val="Quote"/>
      </w:pPr>
      <w:r>
        <w:rPr>
          <w:i/>
        </w:rPr>
        <w:t xml:space="preserve">“Which goal does this serve, and how will we know it worked?”</w:t>
      </w:r>
    </w:p>
    <w:p>
      <w:r>
        <w:t xml:space="preserve">A date-driven roadmap promises things nobody can know yet. The </w:t>
      </w:r>
      <w:r>
        <w:rPr>
          <w:b/>
        </w:rPr>
        <w:t xml:space="preserve">Now / Next / Later</w:t>
      </w:r>
      <w:r>
        <w:t xml:space="preserve"> roadmap, popularised by Janna Bastow of ProdPad, swaps dates for </w:t>
      </w:r>
      <w:r>
        <w:rPr>
          <w:b/>
        </w:rPr>
        <w:t xml:space="preserve">horizons of certainty</w:t>
      </w:r>
      <w:r>
        <w:t xml:space="preserve">: </w:t>
      </w:r>
      <w:r>
        <w:rPr>
          <w:b/>
        </w:rPr>
        <w:t xml:space="preserve">Now</w:t>
      </w:r>
      <w:r>
        <w:t xml:space="preserve"> is committed and in progress, </w:t>
      </w:r>
      <w:r>
        <w:rPr>
          <w:b/>
        </w:rPr>
        <w:t xml:space="preserve">Next</w:t>
      </w:r>
      <w:r>
        <w:t xml:space="preserve"> is shaped and ready to start, and </w:t>
      </w:r>
      <w:r>
        <w:rPr>
          <w:b/>
        </w:rPr>
        <w:t xml:space="preserve">Later</w:t>
      </w:r>
      <w:r>
        <w:t xml:space="preserve"> holds problems worth exploring, not promises. Every item sits in a lane for one of up to three </w:t>
      </w:r>
      <w:r>
        <w:rPr>
          <w:b/>
        </w:rPr>
        <w:t xml:space="preserve">goals</w:t>
      </w:r>
      <w:r>
        <w:t xml:space="preserve">, so the roadmap explains why as well as what. The board adds what you're </w:t>
      </w:r>
      <w:r>
        <w:rPr>
          <w:b/>
        </w:rPr>
        <w:t xml:space="preserve">not doing</w:t>
      </w:r>
      <w:r>
        <w:t xml:space="preserve">, the </w:t>
      </w:r>
      <w:r>
        <w:rPr>
          <w:b/>
        </w:rPr>
        <w:t xml:space="preserve">assumptions</w:t>
      </w:r>
      <w:r>
        <w:t xml:space="preserve"> to test before an item moves left, and how often you'll review it.</w:t>
      </w:r>
    </w:p>
    <w:tbl>
      <w:tblPr>
        <w:tblStyle w:val="TableGrid"/>
        <w:tblW w:w="0" w:type="auto"/>
      </w:tblPr>
      <w:tblGrid>
        <w:gridCol w:w="2250"/>
        <w:gridCol w:w="2250"/>
        <w:gridCol w:w="2250"/>
        <w:gridCol w:w="2250"/>
      </w:tblGrid>
      <w:tr>
        <w:trPr>
          <w:tblHeader/>
        </w:trPr>
        <w:tc>
          <w:tcPr>
            <w:tcW w:w="2250" w:type="dxa"/>
            <w:shd w:val="clear" w:color="auto" w:fill="EEF2F6"/>
          </w:tcPr>
          <w:p>
            <w:r>
              <w:rPr>
                <w:b/>
              </w:rPr>
              <w:t xml:space="preserve">Duration</w:t>
            </w:r>
          </w:p>
        </w:tc>
        <w:tc>
          <w:tcPr>
            <w:tcW w:w="2250" w:type="dxa"/>
            <w:shd w:val="clear" w:color="auto" w:fill="EEF2F6"/>
          </w:tcPr>
          <w:p>
            <w:r>
              <w:rPr>
                <w:b/>
              </w:rPr>
              <w:t xml:space="preserve">Group</w:t>
            </w:r>
          </w:p>
        </w:tc>
        <w:tc>
          <w:tcPr>
            <w:tcW w:w="2250" w:type="dxa"/>
            <w:shd w:val="clear" w:color="auto" w:fill="EEF2F6"/>
          </w:tcPr>
          <w:p>
            <w:r>
              <w:rPr>
                <w:b/>
              </w:rPr>
              <w:t xml:space="preserve">Use when</w:t>
            </w:r>
          </w:p>
        </w:tc>
        <w:tc>
          <w:tcPr>
            <w:tcW w:w="2250" w:type="dxa"/>
            <w:shd w:val="clear" w:color="auto" w:fill="EEF2F6"/>
          </w:tcPr>
          <w:p>
            <w:r>
              <w:rPr>
                <w:b/>
              </w:rPr>
              <w:t xml:space="preserve">Output</w:t>
            </w:r>
          </w:p>
        </w:tc>
      </w:tr>
      <w:tr>
        <w:tc>
          <w:tcPr>
            <w:tcW w:w="2250" w:type="dxa"/>
          </w:tcPr>
          <w:p>
            <w:r>
              <w:t xml:space="preserve">60–90 min,</w:t>
            </w:r>
            <w:r>
              <w:br/>
            </w:r>
            <w:r>
              <w:t xml:space="preserve">then reviewed regularly</w:t>
            </w:r>
          </w:p>
        </w:tc>
        <w:tc>
          <w:tcPr>
            <w:tcW w:w="2250" w:type="dxa"/>
          </w:tcPr>
          <w:p>
            <w:r>
              <w:t xml:space="preserve">Product owner, team,</w:t>
            </w:r>
            <w:r>
              <w:br/>
            </w:r>
            <w:r>
              <w:t xml:space="preserve">key stakeholders</w:t>
            </w:r>
          </w:p>
        </w:tc>
        <w:tc>
          <w:tcPr>
            <w:tcW w:w="2250" w:type="dxa"/>
          </w:tcPr>
          <w:p>
            <w:r>
              <w:t xml:space="preserve">Planning a quarter,</w:t>
            </w:r>
            <w:r>
              <w:br/>
            </w:r>
            <w:r>
              <w:t xml:space="preserve">or replacing a Gantt</w:t>
            </w:r>
          </w:p>
        </w:tc>
        <w:tc>
          <w:tcPr>
            <w:tcW w:w="2250" w:type="dxa"/>
          </w:tcPr>
          <w:p>
            <w:r>
              <w:t xml:space="preserve">A goal-led roadmap</w:t>
            </w:r>
            <w:r>
              <w:br/>
            </w:r>
            <w:r>
              <w:t xml:space="preserve">you can share</w:t>
            </w:r>
          </w:p>
        </w:tc>
      </w:tr>
    </w:tbl>
    <w:p/>
    <w:p>
      <w:pPr>
        <w:pStyle w:val="Heading1"/>
      </w:pPr>
      <w:r>
        <w:t xml:space="preserve">Before the session</w:t>
      </w:r>
    </w:p>
    <w:p>
      <w:pPr>
        <w:pStyle w:val="ListBullet"/>
        <w:numPr>
          <w:ilvl w:val="0"/>
          <w:numId w:val="1"/>
        </w:numPr>
      </w:pPr>
      <w:r>
        <w:t xml:space="preserve">Print the board at A3 or 11×17, or load the SVG as a digital background</w:t>
      </w:r>
    </w:p>
    <w:p>
      <w:pPr>
        <w:pStyle w:val="ListBullet"/>
        <w:numPr>
          <w:ilvl w:val="0"/>
          <w:numId w:val="1"/>
        </w:numPr>
      </w:pPr>
      <w:r>
        <w:t xml:space="preserve">Bring the product vision and current goals or OKRs; agree no more than three goals</w:t>
      </w:r>
    </w:p>
    <w:p>
      <w:pPr>
        <w:pStyle w:val="ListBullet"/>
        <w:numPr>
          <w:ilvl w:val="0"/>
          <w:numId w:val="1"/>
        </w:numPr>
      </w:pPr>
      <w:r>
        <w:t xml:space="preserve">List candidate items on stickies beforehand: work in progress, ideas, requests</w:t>
      </w:r>
    </w:p>
    <w:p>
      <w:pPr>
        <w:pStyle w:val="ListBullet"/>
        <w:numPr>
          <w:ilvl w:val="0"/>
          <w:numId w:val="1"/>
        </w:numPr>
      </w:pPr>
      <w:r>
        <w:t xml:space="preserve">Invite someone who can say no: the product owner or sponsor</w:t>
      </w:r>
    </w:p>
    <w:p>
      <w:pPr>
        <w:pStyle w:val="Heading1"/>
      </w:pPr>
      <w:r>
        <w:t xml:space="preserve">Agenda &amp; run-sheet</w:t>
      </w:r>
    </w:p>
    <w:tbl>
      <w:tblPr>
        <w:tblStyle w:val="TableGrid"/>
        <w:tblW w:w="0" w:type="auto"/>
      </w:tblPr>
      <w:tblGrid>
        <w:gridCol w:w="1300"/>
        <w:gridCol w:w="2300"/>
        <w:gridCol w:w="5400"/>
      </w:tblGrid>
      <w:tr>
        <w:trPr>
          <w:tblHeader/>
        </w:trPr>
        <w:tc>
          <w:tcPr>
            <w:tcW w:w="1300" w:type="dxa"/>
            <w:shd w:val="clear" w:color="auto" w:fill="EEF2F6"/>
          </w:tcPr>
          <w:p>
            <w:r>
              <w:rPr>
                <w:b/>
              </w:rPr>
              <w:t xml:space="preserve">Time</w:t>
            </w:r>
          </w:p>
        </w:tc>
        <w:tc>
          <w:tcPr>
            <w:tcW w:w="2300" w:type="dxa"/>
            <w:shd w:val="clear" w:color="auto" w:fill="EEF2F6"/>
          </w:tcPr>
          <w:p>
            <w:r>
              <w:rPr>
                <w:b/>
              </w:rPr>
              <w:t xml:space="preserve">Section</w:t>
            </w:r>
          </w:p>
        </w:tc>
        <w:tc>
          <w:tcPr>
            <w:tcW w:w="5400" w:type="dxa"/>
            <w:shd w:val="clear" w:color="auto" w:fill="EEF2F6"/>
          </w:tcPr>
          <w:p>
            <w:r>
              <w:rPr>
                <w:b/>
              </w:rPr>
              <w:t xml:space="preserve">Facilitator notes</w:t>
            </w:r>
          </w:p>
        </w:tc>
      </w:tr>
      <w:tr>
        <w:tc>
          <w:tcPr>
            <w:tcW w:w="1300" w:type="dxa"/>
          </w:tcPr>
          <w:p>
            <w:r>
              <w:t xml:space="preserve">0–15</w:t>
            </w:r>
          </w:p>
        </w:tc>
        <w:tc>
          <w:tcPr>
            <w:tcW w:w="2300" w:type="dxa"/>
          </w:tcPr>
          <w:p>
            <w:r>
              <w:t xml:space="preserve">1 · Goals</w:t>
            </w:r>
          </w:p>
        </w:tc>
        <w:tc>
          <w:tcPr>
            <w:tcW w:w="5400" w:type="dxa"/>
          </w:tcPr>
          <w:p>
            <w:r>
              <w:t xml:space="preserve">Agree up to three goals and a measure for each. If an item fits no goal, question it.</w:t>
            </w:r>
          </w:p>
        </w:tc>
      </w:tr>
      <w:tr>
        <w:tc>
          <w:tcPr>
            <w:tcW w:w="1300" w:type="dxa"/>
          </w:tcPr>
          <w:p>
            <w:r>
              <w:t xml:space="preserve">15–30</w:t>
            </w:r>
          </w:p>
        </w:tc>
        <w:tc>
          <w:tcPr>
            <w:tcW w:w="2300" w:type="dxa"/>
          </w:tcPr>
          <w:p>
            <w:r>
              <w:t xml:space="preserve">2 · Now</w:t>
            </w:r>
          </w:p>
        </w:tc>
        <w:tc>
          <w:tcPr>
            <w:tcW w:w="5400" w:type="dxa"/>
          </w:tcPr>
          <w:p>
            <w:r>
              <w:t xml:space="preserve">Place work already in progress. If Now is overflowing, that's the first conversation.</w:t>
            </w:r>
          </w:p>
        </w:tc>
      </w:tr>
      <w:tr>
        <w:tc>
          <w:tcPr>
            <w:tcW w:w="1300" w:type="dxa"/>
          </w:tcPr>
          <w:p>
            <w:r>
              <w:t xml:space="preserve">30–45</w:t>
            </w:r>
          </w:p>
        </w:tc>
        <w:tc>
          <w:tcPr>
            <w:tcW w:w="2300" w:type="dxa"/>
          </w:tcPr>
          <w:p>
            <w:r>
              <w:t xml:space="preserve">3 · Next</w:t>
            </w:r>
          </w:p>
        </w:tc>
        <w:tc>
          <w:tcPr>
            <w:tcW w:w="5400" w:type="dxa"/>
          </w:tcPr>
          <w:p>
            <w:r>
              <w:t xml:space="preserve">Add items that are shaped and ready. Keep it to what the team could start soon.</w:t>
            </w:r>
          </w:p>
        </w:tc>
      </w:tr>
      <w:tr>
        <w:tc>
          <w:tcPr>
            <w:tcW w:w="1300" w:type="dxa"/>
          </w:tcPr>
          <w:p>
            <w:r>
              <w:t xml:space="preserve">45–55</w:t>
            </w:r>
          </w:p>
        </w:tc>
        <w:tc>
          <w:tcPr>
            <w:tcW w:w="2300" w:type="dxa"/>
          </w:tcPr>
          <w:p>
            <w:r>
              <w:t xml:space="preserve">4 · Later</w:t>
            </w:r>
          </w:p>
        </w:tc>
        <w:tc>
          <w:tcPr>
            <w:tcW w:w="5400" w:type="dxa"/>
          </w:tcPr>
          <w:p>
            <w:r>
              <w:t xml:space="preserve">Add problems and opportunities, not solutions. Write them as questions where you can.</w:t>
            </w:r>
          </w:p>
        </w:tc>
      </w:tr>
      <w:tr>
        <w:tc>
          <w:tcPr>
            <w:tcW w:w="1300" w:type="dxa"/>
          </w:tcPr>
          <w:p>
            <w:r>
              <w:t xml:space="preserve">55–70</w:t>
            </w:r>
          </w:p>
        </w:tc>
        <w:tc>
          <w:tcPr>
            <w:tcW w:w="2300" w:type="dxa"/>
          </w:tcPr>
          <w:p>
            <w:r>
              <w:t xml:space="preserve">5 · Not Doing · 6 · Assumptions</w:t>
            </w:r>
          </w:p>
        </w:tc>
        <w:tc>
          <w:tcPr>
            <w:tcW w:w="5400" w:type="dxa"/>
          </w:tcPr>
          <w:p>
            <w:r>
              <w:t xml:space="preserve">Say no out loud, with reasons. List what must be true before items move left.</w:t>
            </w:r>
          </w:p>
        </w:tc>
      </w:tr>
      <w:tr>
        <w:tc>
          <w:tcPr>
            <w:tcW w:w="1300" w:type="dxa"/>
          </w:tcPr>
          <w:p>
            <w:r>
              <w:t xml:space="preserve">70–80</w:t>
            </w:r>
          </w:p>
        </w:tc>
        <w:tc>
          <w:tcPr>
            <w:tcW w:w="2300" w:type="dxa"/>
          </w:tcPr>
          <w:p>
            <w:r>
              <w:t xml:space="preserve">7 · Review &amp; Share</w:t>
            </w:r>
          </w:p>
        </w:tc>
        <w:tc>
          <w:tcPr>
            <w:tcW w:w="5400" w:type="dxa"/>
          </w:tcPr>
          <w:p>
            <w:r>
              <w:t xml:space="preserve">Agree how often to review it, when an item moves to Now, and who sees it.</w:t>
            </w:r>
          </w:p>
        </w:tc>
      </w:tr>
    </w:tbl>
    <w:p/>
    <w:p>
      <w:pPr>
        <w:pStyle w:val="Heading1"/>
      </w:pPr>
      <w:r>
        <w:t xml:space="preserve">Using each horizon well</w:t>
      </w:r>
    </w:p>
    <w:p>
      <w:r>
        <w:t xml:space="preserve">Certainty falls from left to right.</w:t>
      </w:r>
    </w:p>
    <w:p>
      <w:pPr>
        <w:pStyle w:val="Heading2"/>
      </w:pPr>
      <w:r>
        <w:t xml:space="preserve">Goals</w:t>
      </w:r>
    </w:p>
    <w:p>
      <w:pPr>
        <w:pStyle w:val="ListBullet"/>
        <w:numPr>
          <w:ilvl w:val="0"/>
          <w:numId w:val="1"/>
        </w:numPr>
      </w:pPr>
      <w:r>
        <w:t xml:space="preserve">Up to three</w:t>
      </w:r>
    </w:p>
    <w:p>
      <w:pPr>
        <w:pStyle w:val="ListBullet"/>
        <w:numPr>
          <w:ilvl w:val="0"/>
          <w:numId w:val="1"/>
        </w:numPr>
      </w:pPr>
      <w:r>
        <w:t xml:space="preserve">Each with a measure</w:t>
      </w:r>
    </w:p>
    <w:p>
      <w:pPr>
        <w:pStyle w:val="Heading2"/>
      </w:pPr>
      <w:r>
        <w:t xml:space="preserve">Now</w:t>
      </w:r>
    </w:p>
    <w:p>
      <w:pPr>
        <w:pStyle w:val="ListBullet"/>
        <w:numPr>
          <w:ilvl w:val="0"/>
          <w:numId w:val="1"/>
        </w:numPr>
      </w:pPr>
      <w:r>
        <w:t xml:space="preserve">Committed, in progress</w:t>
      </w:r>
    </w:p>
    <w:p>
      <w:pPr>
        <w:pStyle w:val="ListBullet"/>
        <w:numPr>
          <w:ilvl w:val="0"/>
          <w:numId w:val="1"/>
        </w:numPr>
      </w:pPr>
      <w:r>
        <w:t xml:space="preserve">Small enough to finish</w:t>
      </w:r>
    </w:p>
    <w:p>
      <w:pPr>
        <w:pStyle w:val="Heading2"/>
      </w:pPr>
      <w:r>
        <w:t xml:space="preserve">Next</w:t>
      </w:r>
    </w:p>
    <w:p>
      <w:pPr>
        <w:pStyle w:val="ListBullet"/>
        <w:numPr>
          <w:ilvl w:val="0"/>
          <w:numId w:val="1"/>
        </w:numPr>
      </w:pPr>
      <w:r>
        <w:t xml:space="preserve">Shaped, not started</w:t>
      </w:r>
    </w:p>
    <w:p>
      <w:pPr>
        <w:pStyle w:val="ListBullet"/>
        <w:numPr>
          <w:ilvl w:val="0"/>
          <w:numId w:val="1"/>
        </w:numPr>
      </w:pPr>
      <w:r>
        <w:t xml:space="preserve">Could change</w:t>
      </w:r>
    </w:p>
    <w:p>
      <w:pPr>
        <w:pStyle w:val="Heading2"/>
      </w:pPr>
      <w:r>
        <w:t xml:space="preserve">Later</w:t>
      </w:r>
    </w:p>
    <w:p>
      <w:pPr>
        <w:pStyle w:val="ListBullet"/>
        <w:numPr>
          <w:ilvl w:val="0"/>
          <w:numId w:val="1"/>
        </w:numPr>
      </w:pPr>
      <w:r>
        <w:t xml:space="preserve">Problems, not features</w:t>
      </w:r>
    </w:p>
    <w:p>
      <w:pPr>
        <w:pStyle w:val="ListBullet"/>
        <w:numPr>
          <w:ilvl w:val="0"/>
          <w:numId w:val="1"/>
        </w:numPr>
      </w:pPr>
      <w:r>
        <w:t xml:space="preserve">No dates</w:t>
      </w:r>
    </w:p>
    <w:p>
      <w:pPr>
        <w:pStyle w:val="Heading2"/>
      </w:pPr>
      <w:r>
        <w:t xml:space="preserve">Not Doing</w:t>
      </w:r>
    </w:p>
    <w:p>
      <w:pPr>
        <w:pStyle w:val="ListBullet"/>
        <w:numPr>
          <w:ilvl w:val="0"/>
          <w:numId w:val="1"/>
        </w:numPr>
      </w:pPr>
      <w:r>
        <w:t xml:space="preserve">Said out loud</w:t>
      </w:r>
    </w:p>
    <w:p>
      <w:pPr>
        <w:pStyle w:val="ListBullet"/>
        <w:numPr>
          <w:ilvl w:val="0"/>
          <w:numId w:val="1"/>
        </w:numPr>
      </w:pPr>
      <w:r>
        <w:t xml:space="preserve">With a reason</w:t>
      </w:r>
    </w:p>
    <w:p>
      <w:pPr>
        <w:pStyle w:val="Heading1"/>
      </w:pPr>
      <w:r>
        <w:t xml:space="preserve">Facilitation tips</w:t>
      </w:r>
    </w:p>
    <w:p>
      <w:r>
        <w:rPr>
          <w:b/>
        </w:rPr>
        <w:t xml:space="preserve">Problems on the right. </w:t>
      </w:r>
      <w:r>
        <w:t xml:space="preserve">Later items written as problems keep options open: “Shoppers abandon at delivery slots”, not “Build slot picker”.</w:t>
      </w:r>
    </w:p>
    <w:p>
      <w:r>
        <w:rPr>
          <w:b/>
        </w:rPr>
        <w:t xml:space="preserve">Dates only in Now. </w:t>
      </w:r>
      <w:r>
        <w:t xml:space="preserve">If someone needs a date, forecast the Now items with the Release Forecast, not the whole roadmap.</w:t>
      </w:r>
    </w:p>
    <w:p>
      <w:r>
        <w:rPr>
          <w:b/>
        </w:rPr>
        <w:t xml:space="preserve">Not Doing builds trust. </w:t>
      </w:r>
      <w:r>
        <w:t xml:space="preserve">Stakeholders accept a no far more easily when they can see it and the reason.</w:t>
      </w:r>
    </w:p>
    <w:p>
      <w:r>
        <w:rPr>
          <w:b/>
        </w:rPr>
        <w:t xml:space="preserve">Move items both ways. </w:t>
      </w:r>
      <w:r>
        <w:t xml:space="preserve">An item can move back from Next to Later when you learn it's harder or less valuable.</w:t>
      </w:r>
    </w:p>
    <w:p>
      <w:r>
        <w:rPr>
          <w:b/>
        </w:rPr>
        <w:t xml:space="preserve">Show it, don't send it. </w:t>
      </w:r>
      <w:r>
        <w:t xml:space="preserve">Walk stakeholders through it; the conversation matters more than the picture.</w:t>
      </w:r>
    </w:p>
    <w:p>
      <w:r>
        <w:rPr>
          <w:b/>
        </w:rPr>
        <w:t xml:space="preserve">Keep it fresh. </w:t>
      </w:r>
      <w:r>
        <w:t xml:space="preserve">A roadmap reviewed every month or quarter is a plan; one never reviewed is a wish list.</w:t>
      </w:r>
    </w:p>
    <w:p>
      <w:r>
        <w:rPr>
          <w:b/>
        </w:rPr>
        <w:t xml:space="preserve">Common pitfalls: </w:t>
      </w:r>
      <w:r>
        <w:t xml:space="preserve">a Gantt chart with the dates rubbed off; Later used as a promise; too many goals; items with no goal; Now overflowing; never reviewing it; treating it as a commitment to every stakeholder.</w:t>
      </w:r>
    </w:p>
    <w:p>
      <w:pPr>
        <w:pStyle w:val="Heading1"/>
      </w:pPr>
      <w:r>
        <w:t xml:space="preserve">After the session</w:t>
      </w:r>
    </w:p>
    <w:p>
      <w:r>
        <w:rPr>
          <w:b/>
        </w:rPr>
        <w:t xml:space="preserve">Straight away: </w:t>
      </w:r>
      <w:r>
        <w:t xml:space="preserve">Photograph the board or move it to your digital tool, and share it with a short walk-through.</w:t>
      </w:r>
    </w:p>
    <w:p>
      <w:r>
        <w:rPr>
          <w:b/>
        </w:rPr>
        <w:t xml:space="preserve">Each iteration: </w:t>
      </w:r>
      <w:r>
        <w:t xml:space="preserve">Plan from the Now column; refine items in Next.</w:t>
      </w:r>
    </w:p>
    <w:p>
      <w:r>
        <w:rPr>
          <w:b/>
        </w:rPr>
        <w:t xml:space="preserve">Monthly or quarterly: </w:t>
      </w:r>
      <w:r>
        <w:t xml:space="preserve">Review: move items, retire goals that are met, check the assumptions.</w:t>
      </w:r>
    </w:p>
    <w:p>
      <w:r>
        <w:rPr>
          <w:b/>
        </w:rPr>
        <w:t xml:space="preserve">When asked for dates: </w:t>
      </w:r>
      <w:r>
        <w:t xml:space="preserve">Use the Release Forecast for Now items, and explain the horizons.</w:t>
      </w:r>
    </w:p>
    <w:p>
      <w:pPr>
        <w:pStyle w:val="Heading1"/>
      </w:pPr>
      <w:r>
        <w:t xml:space="preserve">How it fits the toolkit</w:t>
      </w:r>
    </w:p>
    <w:p>
      <w:r>
        <w:t xml:space="preserve">The roadmap sits between strategy and delivery. Start from the </w:t>
      </w:r>
      <w:r>
        <w:t xml:space="preserve">Product Vision Board</w:t>
      </w:r>
      <w:r>
        <w:t xml:space="preserve"> and </w:t>
      </w:r>
      <w:r>
        <w:t xml:space="preserve">Objectives &amp; Key Results</w:t>
      </w:r>
      <w:r>
        <w:t xml:space="preserve"> for the goals, use the </w:t>
      </w:r>
      <w:r>
        <w:t xml:space="preserve">Opportunity Solution Tree</w:t>
      </w:r>
      <w:r>
        <w:t xml:space="preserve"> to explore Later, the </w:t>
      </w:r>
      <w:r>
        <w:t xml:space="preserve">Prioritisation Board</w:t>
      </w:r>
      <w:r>
        <w:t xml:space="preserve"> to choose what moves left (its small Now / Next / Later panel is a quick version of this board), and the </w:t>
      </w:r>
      <w:r>
        <w:t xml:space="preserve">Release Forecast</w:t>
      </w:r>
      <w:r>
        <w:t xml:space="preserve"> when someone needs a date.</w:t>
      </w:r>
    </w:p>
    <w:p>
      <w:pPr>
        <w:pStyle w:val="Heading1"/>
      </w:pPr>
      <w:r>
        <w:t xml:space="preserve">Recreate it in your whiteboard</w:t>
      </w:r>
    </w:p>
    <w:p>
      <w:pPr>
        <w:pStyle w:val="Small"/>
      </w:pPr>
      <w:r>
        <w:t xml:space="preserve">Paste this into your whiteboard's AI assistant (for example Miro AI or Atlassian Rovo) or a general assistant, to get an editable, native version of the board. Results vary by tool, so expect to tidy it up. For an exact copy, import the SVG as a locked background instead.</w:t>
      </w:r>
    </w:p>
    <w:p>
      <w:r>
        <w:t xml:space="preserve">Create an editable whiteboard for “Now · Next · Later Roadmap”, a workshop board.</w:t>
      </w:r>
    </w:p>
    <w:p>
      <w:r>
        <w:t xml:space="preserve">Purpose: Show what you're working on, what's coming and what you're exploring, tied to goals, without promising dates you can't keep.</w:t>
      </w:r>
    </w:p>
    <w:p>
      <w:r>
        <w:t xml:space="preserve">Layout: a wide landscape board (about 16:11). Make one frame per section below, placed as described. In each frame, add the section name as a heading, then its content as short text labels or empty fields to fill in. Leave space in each frame for sticky notes. Use the header colour given. Keep the wording as written and don't add extra content.</w:t>
      </w:r>
    </w:p>
    <w:p>
      <w:r>
        <w:t xml:space="preserve">Header fields to fill in: Product, Owner, Updated</w:t>
      </w:r>
    </w:p>
    <w:p>
      <w:r>
        <w:t xml:space="preserve">Sections:</w:t>
      </w:r>
    </w:p>
    <w:p>
      <w:r>
        <w:t xml:space="preserve">1. Goals: top left, about 15% wide and 60% tall; header colour emerald green.</w:t>
      </w:r>
    </w:p>
    <w:p>
      <w:r>
        <w:t xml:space="preserve">   Subtitle: Why</w:t>
      </w:r>
    </w:p>
    <w:p>
      <w:r>
        <w:t xml:space="preserve">   Content: Goal a: · Measure: (×3) · Goal b: · Goal c:</w:t>
      </w:r>
    </w:p>
    <w:p>
      <w:r>
        <w:t xml:space="preserve">2. Now: top left, about 25% wide and 60% tall.</w:t>
      </w:r>
    </w:p>
    <w:p>
      <w:r>
        <w:t xml:space="preserve">   Subtitle: Committed · high certainty</w:t>
      </w:r>
    </w:p>
    <w:p>
      <w:r>
        <w:t xml:space="preserve">   Content: Being built for this goal (×3)</w:t>
      </w:r>
    </w:p>
    <w:p>
      <w:r>
        <w:t xml:space="preserve">3. Next: top centre, about 25% wide and 60% tall.</w:t>
      </w:r>
    </w:p>
    <w:p>
      <w:r>
        <w:t xml:space="preserve">   Subtitle: Shaped · medium certainty</w:t>
      </w:r>
    </w:p>
    <w:p>
      <w:r>
        <w:t xml:space="preserve">   Content: Shaped and ready to start (×3)</w:t>
      </w:r>
    </w:p>
    <w:p>
      <w:r>
        <w:t xml:space="preserve">4. Later: top right, about 25% wide and 60% tall.</w:t>
      </w:r>
    </w:p>
    <w:p>
      <w:r>
        <w:t xml:space="preserve">   Subtitle: Exploring · low certainty</w:t>
      </w:r>
    </w:p>
    <w:p>
      <w:r>
        <w:t xml:space="preserve">   Content: Problems worth exploring (×3)</w:t>
      </w:r>
    </w:p>
    <w:p>
      <w:r>
        <w:t xml:space="preserve">5. Not Doing: bottom left, about 35% wide and 35% tall; header colour red.</w:t>
      </w:r>
    </w:p>
    <w:p>
      <w:r>
        <w:t xml:space="preserve">   Subtitle: And why · saying no out loud</w:t>
      </w:r>
    </w:p>
    <w:p>
      <w:r>
        <w:t xml:space="preserve">   Content: Item: · Why not (for now):</w:t>
      </w:r>
    </w:p>
    <w:p>
      <w:r>
        <w:t xml:space="preserve">6. Assumptions to Test: bottom centre, about 35% wide and 35% tall; header colour amber.</w:t>
      </w:r>
    </w:p>
    <w:p>
      <w:r>
        <w:t xml:space="preserve">   Subtitle: Before it moves left</w:t>
      </w:r>
    </w:p>
    <w:p>
      <w:r>
        <w:t xml:space="preserve">   Content: We believe…: · We'll test it by:</w:t>
      </w:r>
    </w:p>
    <w:p>
      <w:r>
        <w:t xml:space="preserve">7. Review &amp; Share: bottom right, about 35% wide and 35% tall; header colour slate grey.</w:t>
      </w:r>
    </w:p>
    <w:p>
      <w:r>
        <w:t xml:space="preserve">   Subtitle: A living plan</w:t>
      </w:r>
    </w:p>
    <w:p>
      <w:r>
        <w:t xml:space="preserve">   Content: We review this every: · Next review: · An item moves to Now when: · Shared with: · Every item links to a goal · No dates beyond Now</w:t>
      </w:r>
    </w:p>
    <w:p>
      <w:r>
        <w:t xml:space="preserve">Also on the board: CERTAINTY FALLS FROM LEFT TO RIGHT · LATER HOLDS PROBLEMS, NOT PROMISES</w:t>
      </w:r>
    </w:p>
    <w:p>
      <w:r>
        <w:t xml:space="preserve">Footer questions: “Which goal does this serve, and how will we know it worked?” “What would have to be true for this to move from Later to Next?”</w:t>
      </w:r>
    </w:p>
    <w:p>
      <w:r>
        <w:t xml:space="preserve">Original board for reference: https://eparker71.github.io/better-delivery-toolkit/boards/roadmap-board.html</w:t>
      </w:r>
    </w:p>
    <w:p>
      <w:pPr>
        <w:pStyle w:val="Small"/>
      </w:pPr>
      <w:r>
        <w:t xml:space="preserve">Boards: https://eparker71.github.io/better-delivery-toolkit/boards/roadmap-board.html  ·  Online guide: https://eparker71.github.io/better-delivery-toolkit/guides/facilitator-guide-roadmap.html</w:t>
      </w:r>
    </w:p>
    <w:p>
      <w:pPr>
        <w:pStyle w:val="Small"/>
      </w:pPr>
      <w:r>
        <w:t xml:space="preserve">© 2026 Eric Parker · CC BY 4.0 · eparker71.github.io/better-delivery-toolkit · Adapt it freely; please keep the credit and say what you changed.</w:t>
      </w:r>
    </w:p>
    <w:sectPr>
      <w:pgSz w:w="11906" w:h="16838"/>
      <w:pgMar w:top="1134" w:right="1134" w:bottom="1134" w:left="1134" w:header="567" w:footer="567" w:gutter="0"/>
    </w:sectPr>
  </w:body>
</w:document>
</file>

<file path=word/numbering.xml><?xml version="1.0" encoding="utf-8"?>
<w:numbering xmlns:w="http://schemas.openxmlformats.org/wordprocessingml/2006/main">
  <w:abstractNum w:abstractNumId="0">
    <w:multiLevelType w:val="singleLevel"/>
    <w:lvl w:ilvl="0">
      <w:start w:val="1"/>
      <w:numFmt w:val="bullet"/>
      <w:lvlText w:val="•"/>
      <w:lvlJc w:val="left"/>
      <w:pPr>
        <w:ind w:left="567" w:hanging="283"/>
      </w:pPr>
    </w:lvl>
  </w:abstractNum>
  <w:num w:numId="1">
    <w:abstractNumId w:val="0"/>
  </w:num>
</w:numbering>
</file>

<file path=word/styles.xml><?xml version="1.0" encoding="utf-8"?>
<w:styles xmlns:w="http://schemas.openxmlformats.org/wordprocessingml/2006/main">
  <w:docDefaults>
    <w:rPrDefault>
      <w:rPr>
        <w:rFonts w:ascii="Calibri" w:hAnsi="Calibri" w:cs="Calibri"/>
        <w:sz w:val="21"/>
        <w:color w:val="1E293B"/>
      </w:rPr>
    </w:rPrDefault>
    <w:pPrDefault>
      <w:pPr>
        <w:spacing w:after="120" w:line="276" w:lineRule="auto"/>
      </w:pPr>
    </w:pPrDefault>
  </w:docDefaults>
  <w:style w:type="paragraph" w:default="1" w:styleId="Normal">
    <w:name w:val="Normal"/>
  </w:style>
  <w:style w:type="paragraph" w:styleId="Title">
    <w:name w:val="Title"/>
    <w:basedOn w:val="Normal"/>
    <w:next w:val="Normal"/>
    <w:pPr>
      <w:spacing w:after="60"/>
    </w:pPr>
    <w:rPr>
      <w:rFonts w:ascii="Georgia" w:hAnsi="Georgia"/>
      <w:sz w:val="48"/>
      <w:color w:val="0C1A2E"/>
    </w:rPr>
  </w:style>
  <w:style w:type="paragraph" w:styleId="Heading1">
    <w:name w:val="heading 1"/>
    <w:basedOn w:val="Normal"/>
    <w:next w:val="Normal"/>
    <w:pPr>
      <w:keepNext/>
      <w:spacing w:before="320" w:after="100"/>
      <w:outlineLvl w:val="0"/>
    </w:pPr>
    <w:rPr>
      <w:rFonts w:ascii="Georgia" w:hAnsi="Georgia"/>
      <w:sz w:val="32"/>
      <w:color w:val="0C1A2E"/>
    </w:rPr>
  </w:style>
  <w:style w:type="paragraph" w:styleId="Heading2">
    <w:name w:val="heading 2"/>
    <w:basedOn w:val="Normal"/>
    <w:next w:val="Normal"/>
    <w:pPr>
      <w:keepNext/>
      <w:spacing w:before="200" w:after="60"/>
      <w:outlineLvl w:val="1"/>
    </w:pPr>
    <w:rPr>
      <w:b/>
      <w:sz w:val="23"/>
      <w:color w:val="9A3412"/>
    </w:rPr>
  </w:style>
  <w:style w:type="paragraph" w:styleId="Quote">
    <w:name w:val="Quote"/>
    <w:basedOn w:val="Normal"/>
    <w:pPr>
      <w:ind w:left="284"/>
      <w:pBdr>
        <w:left w:val="single" w:sz="18" w:space="8" w:color="EB6C36"/>
      </w:pBdr>
    </w:pPr>
    <w:rPr>
      <w:rFonts w:ascii="Georgia" w:hAnsi="Georgia"/>
      <w:i/>
      <w:sz w:val="26"/>
    </w:rPr>
  </w:style>
  <w:style w:type="paragraph" w:styleId="ListBullet">
    <w:name w:val="List Bullet"/>
    <w:basedOn w:val="Normal"/>
    <w:pPr>
      <w:spacing w:after="40"/>
    </w:pPr>
  </w:style>
  <w:style w:type="paragraph" w:styleId="Small">
    <w:name w:val="Small"/>
    <w:basedOn w:val="Normal"/>
    <w:rPr>
      <w:sz w:val="17"/>
      <w:color w:val="64748B"/>
    </w:rPr>
  </w:style>
  <w:style w:type="table" w:styleId="TableGrid">
    <w:name w:val="Table Grid"/>
    <w:tblPr>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CellMar>
        <w:top w:w="60" w:type="dxa"/>
        <w:left w:w="100" w:type="dxa"/>
        <w:bottom w:w="60" w:type="dxa"/>
        <w:right w:w="100" w:type="dxa"/>
      </w:tblCellMar>
    </w:tblPr>
  </w:style>
</w:styles>
</file>

<file path=word/_rels/document.xml.rels><?xml version="1.0" encoding="UTF-8" standalone="yes"?>
<Relationships xmlns="http://schemas.openxmlformats.org/package/2006/relationships">
<Relationship Id="rId1" Type="http://schemas.openxmlformats.org/officeDocument/2006/relationships/styles" Target="styles.xml"/>
<Relationship Id="rId2" Type="http://schemas.openxmlformats.org/officeDocument/2006/relationships/numbering" Target="numbering.xml"/>
</Relationships>
</file>

<file path=docProps/core.xml><?xml version="1.0" encoding="utf-8"?>
<cp:coreProperties xmlns:cp="http://schemas.openxmlformats.org/package/2006/metadata/core-properties" xmlns:dc="http://purl.org/dc/elements/1.1/" xmlns:dcterms="http://purl.org/dc/terms/" xmlns:xsi="http://www.w3.org/2001/XMLSchema-instance">
  <dc:title>Now · Next · Later Roadmap Guide</dc:title>
  <dc:creator>Eric Parker</dc:creator>
</cp:coreProperties>
</file>