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Team Charter Guide</w:t>
      </w:r>
    </w:p>
    <w:p>
      <w:r>
        <w:rPr>
          <w:i/>
        </w:rPr>
        <w:t xml:space="preserve">How to help a new or changing team agree its purpose, ways of working, and what Ready and Done mean.</w:t>
      </w:r>
    </w:p>
    <w:p>
      <w:pPr>
        <w:pStyle w:val="Small"/>
      </w:pPr>
      <w:r>
        <w:t xml:space="preserve">Facilitator Run-Sheet · Team Formation · Working Agreements · Definition of Ready &amp; Done</w:t>
      </w:r>
    </w:p>
    <w:p>
      <w:pPr>
        <w:pStyle w:val="Quote"/>
      </w:pPr>
      <w:r>
        <w:rPr>
          <w:i/>
        </w:rPr>
        <w:t xml:space="preserve">“What would make this the best team any of us has worked on?”</w:t>
      </w:r>
    </w:p>
    <w:p>
      <w:r>
        <w:t xml:space="preserve">Teams that skip chartering discover their disagreements later, under delivery pressure. A charter makes the unwritten rules explicit: </w:t>
      </w:r>
      <w:r>
        <w:rPr>
          <w:b/>
        </w:rPr>
        <w:t xml:space="preserve">why</w:t>
      </w:r>
      <w:r>
        <w:t xml:space="preserve"> the team exists, who is in it, what it values, how it works and decides, and the quality bar for starting and finishing work. The team writes it together, so they own it, and revisits it whenever the team or its work changes.</w:t>
      </w:r>
    </w:p>
    <w:tbl>
      <w:tblPr>
        <w:tblStyle w:val="TableGrid"/>
        <w:tblW w:w="0" w:type="auto"/>
      </w:tblPr>
      <w:tblGrid>
        <w:gridCol w:w="2250"/>
        <w:gridCol w:w="2250"/>
        <w:gridCol w:w="2250"/>
        <w:gridCol w:w="2250"/>
      </w:tblGrid>
      <w:tr>
        <w:trPr>
          <w:tblHeader/>
        </w:trPr>
        <w:tc>
          <w:tcPr>
            <w:tcW w:w="2250" w:type="dxa"/>
            <w:shd w:val="clear" w:color="auto" w:fill="EEF2F6"/>
          </w:tcPr>
          <w:p>
            <w:r>
              <w:rPr>
                <w:b/>
              </w:rPr>
              <w:t xml:space="preserve">Duration</w:t>
            </w:r>
          </w:p>
        </w:tc>
        <w:tc>
          <w:tcPr>
            <w:tcW w:w="2250" w:type="dxa"/>
            <w:shd w:val="clear" w:color="auto" w:fill="EEF2F6"/>
          </w:tcPr>
          <w:p>
            <w:r>
              <w:rPr>
                <w:b/>
              </w:rPr>
              <w:t xml:space="preserve">Group</w:t>
            </w:r>
          </w:p>
        </w:tc>
        <w:tc>
          <w:tcPr>
            <w:tcW w:w="2250" w:type="dxa"/>
            <w:shd w:val="clear" w:color="auto" w:fill="EEF2F6"/>
          </w:tcPr>
          <w:p>
            <w:r>
              <w:rPr>
                <w:b/>
              </w:rPr>
              <w:t xml:space="preserve">Use when</w:t>
            </w:r>
          </w:p>
        </w:tc>
        <w:tc>
          <w:tcPr>
            <w:tcW w:w="2250" w:type="dxa"/>
            <w:shd w:val="clear" w:color="auto" w:fill="EEF2F6"/>
          </w:tcPr>
          <w:p>
            <w:r>
              <w:rPr>
                <w:b/>
              </w:rPr>
              <w:t xml:space="preserve">Output</w:t>
            </w:r>
          </w:p>
        </w:tc>
      </w:tr>
      <w:tr>
        <w:tc>
          <w:tcPr>
            <w:tcW w:w="2250" w:type="dxa"/>
          </w:tcPr>
          <w:p>
            <w:r>
              <w:t xml:space="preserve">2–3 h</w:t>
            </w:r>
            <w:r>
              <w:br/>
            </w:r>
            <w:r>
              <w:t xml:space="preserve">or two sessions</w:t>
            </w:r>
          </w:p>
        </w:tc>
        <w:tc>
          <w:tcPr>
            <w:tcW w:w="2250" w:type="dxa"/>
          </w:tcPr>
          <w:p>
            <w:r>
              <w:t xml:space="preserve">The whole team,</w:t>
            </w:r>
            <w:r>
              <w:br/>
            </w:r>
            <w:r>
              <w:t xml:space="preserve">PO included</w:t>
            </w:r>
          </w:p>
        </w:tc>
        <w:tc>
          <w:tcPr>
            <w:tcW w:w="2250" w:type="dxa"/>
          </w:tcPr>
          <w:p>
            <w:r>
              <w:t xml:space="preserve">A team forms, changes</w:t>
            </w:r>
            <w:r>
              <w:br/>
            </w:r>
            <w:r>
              <w:t xml:space="preserve">or gets stuck</w:t>
            </w:r>
          </w:p>
        </w:tc>
        <w:tc>
          <w:tcPr>
            <w:tcW w:w="2250" w:type="dxa"/>
          </w:tcPr>
          <w:p>
            <w:r>
              <w:t xml:space="preserve">An agreed charter</w:t>
            </w:r>
            <w:r>
              <w:br/>
            </w:r>
            <w:r>
              <w:t xml:space="preserve">on the wall</w:t>
            </w:r>
          </w:p>
        </w:tc>
      </w:tr>
    </w:tbl>
    <w:p/>
    <w:p>
      <w:pPr>
        <w:pStyle w:val="Heading1"/>
      </w:pPr>
      <w:r>
        <w:t xml:space="preserve">Before the session</w:t>
      </w:r>
    </w:p>
    <w:p>
      <w:pPr>
        <w:pStyle w:val="ListBullet"/>
        <w:numPr>
          <w:ilvl w:val="0"/>
          <w:numId w:val="1"/>
        </w:numPr>
      </w:pPr>
      <w:r>
        <w:t xml:space="preserve">Print the board at A3 or 11×17 (Tabloid), or larger, or load the SVG as a digital background</w:t>
      </w:r>
    </w:p>
    <w:p>
      <w:pPr>
        <w:pStyle w:val="ListBullet"/>
        <w:numPr>
          <w:ilvl w:val="0"/>
          <w:numId w:val="1"/>
        </w:numPr>
      </w:pPr>
      <w:r>
        <w:t xml:space="preserve">Ask the sponsor or product owner for a one-line draft of the team's purpose</w:t>
      </w:r>
    </w:p>
    <w:p>
      <w:pPr>
        <w:pStyle w:val="ListBullet"/>
        <w:numPr>
          <w:ilvl w:val="0"/>
          <w:numId w:val="1"/>
        </w:numPr>
      </w:pPr>
      <w:r>
        <w:t xml:space="preserve">Gather any existing agreements, Definitions of Done or team norms</w:t>
      </w:r>
    </w:p>
    <w:p>
      <w:pPr>
        <w:pStyle w:val="ListBullet"/>
        <w:numPr>
          <w:ilvl w:val="0"/>
          <w:numId w:val="1"/>
        </w:numPr>
      </w:pPr>
      <w:r>
        <w:t xml:space="preserve">Book a space where everyone can contribute, and make sure the whole team can attend</w:t>
      </w:r>
    </w:p>
    <w:p>
      <w:pPr>
        <w:pStyle w:val="ListBullet"/>
        <w:numPr>
          <w:ilvl w:val="0"/>
          <w:numId w:val="1"/>
        </w:numPr>
      </w:pPr>
      <w:r>
        <w:t xml:space="preserve">Yellow stickies, markers and dot stickers for voting</w:t>
      </w:r>
    </w:p>
    <w:p>
      <w:pPr>
        <w:pStyle w:val="ListBullet"/>
        <w:numPr>
          <w:ilvl w:val="0"/>
          <w:numId w:val="1"/>
        </w:numPr>
      </w:pPr>
      <w:r>
        <w:t xml:space="preserve">Plan an icebreaker that helps people share how they like to work</w:t>
      </w:r>
    </w:p>
    <w:p>
      <w:pPr>
        <w:pStyle w:val="Heading1"/>
      </w:pPr>
      <w:r>
        <w:t xml:space="preserve">Agenda &amp; run-sheet</w:t>
      </w:r>
    </w:p>
    <w:tbl>
      <w:tblPr>
        <w:tblStyle w:val="TableGrid"/>
        <w:tblW w:w="0" w:type="auto"/>
      </w:tblPr>
      <w:tblGrid>
        <w:gridCol w:w="1300"/>
        <w:gridCol w:w="2300"/>
        <w:gridCol w:w="5400"/>
      </w:tblGrid>
      <w:tr>
        <w:trPr>
          <w:tblHeader/>
        </w:trPr>
        <w:tc>
          <w:tcPr>
            <w:tcW w:w="1300" w:type="dxa"/>
            <w:shd w:val="clear" w:color="auto" w:fill="EEF2F6"/>
          </w:tcPr>
          <w:p>
            <w:r>
              <w:rPr>
                <w:b/>
              </w:rPr>
              <w:t xml:space="preserve">Time</w:t>
            </w:r>
          </w:p>
        </w:tc>
        <w:tc>
          <w:tcPr>
            <w:tcW w:w="2300" w:type="dxa"/>
            <w:shd w:val="clear" w:color="auto" w:fill="EEF2F6"/>
          </w:tcPr>
          <w:p>
            <w:r>
              <w:rPr>
                <w:b/>
              </w:rPr>
              <w:t xml:space="preserve">Section</w:t>
            </w:r>
          </w:p>
        </w:tc>
        <w:tc>
          <w:tcPr>
            <w:tcW w:w="5400" w:type="dxa"/>
            <w:shd w:val="clear" w:color="auto" w:fill="EEF2F6"/>
          </w:tcPr>
          <w:p>
            <w:r>
              <w:rPr>
                <w:b/>
              </w:rPr>
              <w:t xml:space="preserve">Facilitator notes</w:t>
            </w:r>
          </w:p>
        </w:tc>
      </w:tr>
      <w:tr>
        <w:tc>
          <w:tcPr>
            <w:tcW w:w="1300" w:type="dxa"/>
          </w:tcPr>
          <w:p>
            <w:r>
              <w:t xml:space="preserve">0–15</w:t>
            </w:r>
          </w:p>
        </w:tc>
        <w:tc>
          <w:tcPr>
            <w:tcW w:w="2300" w:type="dxa"/>
          </w:tcPr>
          <w:p>
            <w:r>
              <w:t xml:space="preserve">Check-in</w:t>
            </w:r>
          </w:p>
        </w:tc>
        <w:tc>
          <w:tcPr>
            <w:tcW w:w="5400" w:type="dxa"/>
          </w:tcPr>
          <w:p>
            <w:r>
              <w:t xml:space="preserve">Each person shares one thing that made a past team great, and one thing that made one hard.</w:t>
            </w:r>
          </w:p>
        </w:tc>
      </w:tr>
      <w:tr>
        <w:tc>
          <w:tcPr>
            <w:tcW w:w="1300" w:type="dxa"/>
          </w:tcPr>
          <w:p>
            <w:r>
              <w:t xml:space="preserve">15–40</w:t>
            </w:r>
          </w:p>
        </w:tc>
        <w:tc>
          <w:tcPr>
            <w:tcW w:w="2300" w:type="dxa"/>
          </w:tcPr>
          <w:p>
            <w:r>
              <w:t xml:space="preserve">1 · Purpose</w:t>
            </w:r>
          </w:p>
        </w:tc>
        <w:tc>
          <w:tcPr>
            <w:tcW w:w="5400" w:type="dxa"/>
          </w:tcPr>
          <w:p>
            <w:r>
              <w:t xml:space="preserve">Draft the three sentences together. Start with the sponsor's draft and challenge it until everyone could explain it.</w:t>
            </w:r>
          </w:p>
        </w:tc>
      </w:tr>
      <w:tr>
        <w:tc>
          <w:tcPr>
            <w:tcW w:w="1300" w:type="dxa"/>
          </w:tcPr>
          <w:p>
            <w:r>
              <w:t xml:space="preserve">40–55</w:t>
            </w:r>
          </w:p>
        </w:tc>
        <w:tc>
          <w:tcPr>
            <w:tcW w:w="2300" w:type="dxa"/>
          </w:tcPr>
          <w:p>
            <w:r>
              <w:t xml:space="preserve">2 · Members &amp; Roles</w:t>
            </w:r>
          </w:p>
        </w:tc>
        <w:tc>
          <w:tcPr>
            <w:tcW w:w="5400" w:type="dxa"/>
          </w:tcPr>
          <w:p>
            <w:r>
              <w:t xml:space="preserve">Each person adds their name, role, and what they bring: skills, experience, interests.</w:t>
            </w:r>
          </w:p>
        </w:tc>
      </w:tr>
      <w:tr>
        <w:tc>
          <w:tcPr>
            <w:tcW w:w="1300" w:type="dxa"/>
          </w:tcPr>
          <w:p>
            <w:r>
              <w:t xml:space="preserve">55–75</w:t>
            </w:r>
          </w:p>
        </w:tc>
        <w:tc>
          <w:tcPr>
            <w:tcW w:w="2300" w:type="dxa"/>
          </w:tcPr>
          <w:p>
            <w:r>
              <w:t xml:space="preserve">3 · Values</w:t>
            </w:r>
          </w:p>
        </w:tc>
        <w:tc>
          <w:tcPr>
            <w:tcW w:w="5400" w:type="dxa"/>
          </w:tcPr>
          <w:p>
            <w:r>
              <w:t xml:space="preserve">Silent writing, cluster, then dot-vote down to 3–5 values. Give each value a concrete example.</w:t>
            </w:r>
          </w:p>
        </w:tc>
      </w:tr>
      <w:tr>
        <w:tc>
          <w:tcPr>
            <w:tcW w:w="1300" w:type="dxa"/>
          </w:tcPr>
          <w:p>
            <w:r>
              <w:t xml:space="preserve">75–105</w:t>
            </w:r>
          </w:p>
        </w:tc>
        <w:tc>
          <w:tcPr>
            <w:tcW w:w="2300" w:type="dxa"/>
          </w:tcPr>
          <w:p>
            <w:r>
              <w:t xml:space="preserve">4 · Working Agreements</w:t>
            </w:r>
          </w:p>
        </w:tc>
        <w:tc>
          <w:tcPr>
            <w:tcW w:w="5400" w:type="dxa"/>
          </w:tcPr>
          <w:p>
            <w:r>
              <w:t xml:space="preserve">Brainstorm agreements as “We…” statements. Discuss each; keep only those everyone can commit to.</w:t>
            </w:r>
          </w:p>
        </w:tc>
      </w:tr>
      <w:tr>
        <w:tc>
          <w:tcPr>
            <w:tcW w:w="1300" w:type="dxa"/>
          </w:tcPr>
          <w:p>
            <w:r>
              <w:t xml:space="preserve">105–120</w:t>
            </w:r>
          </w:p>
        </w:tc>
        <w:tc>
          <w:tcPr>
            <w:tcW w:w="2300" w:type="dxa"/>
          </w:tcPr>
          <w:p>
            <w:r>
              <w:t xml:space="preserve">5 · How We Decide · 6 · Ways of Working</w:t>
            </w:r>
          </w:p>
        </w:tc>
        <w:tc>
          <w:tcPr>
            <w:tcW w:w="5400" w:type="dxa"/>
          </w:tcPr>
          <w:p>
            <w:r>
              <w:t xml:space="preserve">Pick a default decision method and note who decides what. Fill in cadence, tools and channels.</w:t>
            </w:r>
          </w:p>
        </w:tc>
      </w:tr>
      <w:tr>
        <w:tc>
          <w:tcPr>
            <w:tcW w:w="1300" w:type="dxa"/>
          </w:tcPr>
          <w:p>
            <w:r>
              <w:t xml:space="preserve">120–145</w:t>
            </w:r>
          </w:p>
        </w:tc>
        <w:tc>
          <w:tcPr>
            <w:tcW w:w="2300" w:type="dxa"/>
          </w:tcPr>
          <w:p>
            <w:r>
              <w:t xml:space="preserve">7 · Ready · 8 · Done</w:t>
            </w:r>
          </w:p>
        </w:tc>
        <w:tc>
          <w:tcPr>
            <w:tcW w:w="5400" w:type="dxa"/>
          </w:tcPr>
          <w:p>
            <w:r>
              <w:t xml:space="preserve">Agree the checklist for starting an item and for calling it done. Keep each to what the team will really check.</w:t>
            </w:r>
          </w:p>
        </w:tc>
      </w:tr>
      <w:tr>
        <w:tc>
          <w:tcPr>
            <w:tcW w:w="1300" w:type="dxa"/>
          </w:tcPr>
          <w:p>
            <w:r>
              <w:t xml:space="preserve">145–160</w:t>
            </w:r>
          </w:p>
        </w:tc>
        <w:tc>
          <w:tcPr>
            <w:tcW w:w="2300" w:type="dxa"/>
          </w:tcPr>
          <w:p>
            <w:r>
              <w:t xml:space="preserve">9 · Conflict &amp; Review · Close</w:t>
            </w:r>
          </w:p>
        </w:tc>
        <w:tc>
          <w:tcPr>
            <w:tcW w:w="5400" w:type="dxa"/>
          </w:tcPr>
          <w:p>
            <w:r>
              <w:t xml:space="preserve">Agree how to handle disagreement and when to review. Everyone signs; photograph the board.</w:t>
            </w:r>
          </w:p>
        </w:tc>
      </w:tr>
    </w:tbl>
    <w:p/>
    <w:p>
      <w:pPr>
        <w:pStyle w:val="Heading1"/>
      </w:pPr>
      <w:r>
        <w:t xml:space="preserve">Making each section strong</w:t>
      </w:r>
    </w:p>
    <w:p>
      <w:r>
        <w:t xml:space="preserve">Quality checks for each part of the charter.</w:t>
      </w:r>
    </w:p>
    <w:p>
      <w:pPr>
        <w:pStyle w:val="Heading2"/>
      </w:pPr>
      <w:r>
        <w:t xml:space="preserve">1 · Purpose</w:t>
      </w:r>
    </w:p>
    <w:p>
      <w:pPr>
        <w:pStyle w:val="ListBullet"/>
        <w:numPr>
          <w:ilvl w:val="0"/>
          <w:numId w:val="1"/>
        </w:numPr>
      </w:pPr>
      <w:r>
        <w:t xml:space="preserve">Could a stakeholder repeat it?</w:t>
      </w:r>
    </w:p>
    <w:p>
      <w:pPr>
        <w:pStyle w:val="ListBullet"/>
        <w:numPr>
          <w:ilvl w:val="0"/>
          <w:numId w:val="1"/>
        </w:numPr>
      </w:pPr>
      <w:r>
        <w:t xml:space="preserve">Does it name who the team serves?</w:t>
      </w:r>
    </w:p>
    <w:p>
      <w:pPr>
        <w:pStyle w:val="ListBullet"/>
        <w:numPr>
          <w:ilvl w:val="0"/>
          <w:numId w:val="1"/>
        </w:numPr>
      </w:pPr>
      <w:r>
        <w:t xml:space="preserve">Is success observable?</w:t>
      </w:r>
    </w:p>
    <w:p>
      <w:pPr>
        <w:pStyle w:val="Heading2"/>
      </w:pPr>
      <w:r>
        <w:t xml:space="preserve">2 · Members &amp; Roles</w:t>
      </w:r>
    </w:p>
    <w:p>
      <w:pPr>
        <w:pStyle w:val="ListBullet"/>
        <w:numPr>
          <w:ilvl w:val="0"/>
          <w:numId w:val="1"/>
        </w:numPr>
      </w:pPr>
      <w:r>
        <w:t xml:space="preserve">Is everyone listed, part-time members too?</w:t>
      </w:r>
    </w:p>
    <w:p>
      <w:pPr>
        <w:pStyle w:val="ListBullet"/>
        <w:numPr>
          <w:ilvl w:val="0"/>
          <w:numId w:val="1"/>
        </w:numPr>
      </w:pPr>
      <w:r>
        <w:t xml:space="preserve">Are skill gaps visible?</w:t>
      </w:r>
    </w:p>
    <w:p>
      <w:pPr>
        <w:pStyle w:val="Heading2"/>
      </w:pPr>
      <w:r>
        <w:t xml:space="preserve">3 · Values</w:t>
      </w:r>
    </w:p>
    <w:p>
      <w:pPr>
        <w:pStyle w:val="ListBullet"/>
        <w:numPr>
          <w:ilvl w:val="0"/>
          <w:numId w:val="1"/>
        </w:numPr>
      </w:pPr>
      <w:r>
        <w:t xml:space="preserve">3–5, not 12</w:t>
      </w:r>
    </w:p>
    <w:p>
      <w:pPr>
        <w:pStyle w:val="ListBullet"/>
        <w:numPr>
          <w:ilvl w:val="0"/>
          <w:numId w:val="1"/>
        </w:numPr>
      </w:pPr>
      <w:r>
        <w:t xml:space="preserve">Each has an example of it in action</w:t>
      </w:r>
    </w:p>
    <w:p>
      <w:pPr>
        <w:pStyle w:val="Heading2"/>
      </w:pPr>
      <w:r>
        <w:t xml:space="preserve">4 · Working Agreements</w:t>
      </w:r>
    </w:p>
    <w:p>
      <w:pPr>
        <w:pStyle w:val="ListBullet"/>
        <w:numPr>
          <w:ilvl w:val="0"/>
          <w:numId w:val="1"/>
        </w:numPr>
      </w:pPr>
      <w:r>
        <w:t xml:space="preserve">Written as “We…”</w:t>
      </w:r>
    </w:p>
    <w:p>
      <w:pPr>
        <w:pStyle w:val="ListBullet"/>
        <w:numPr>
          <w:ilvl w:val="0"/>
          <w:numId w:val="1"/>
        </w:numPr>
      </w:pPr>
      <w:r>
        <w:t xml:space="preserve">Specific enough to notice if broken</w:t>
      </w:r>
    </w:p>
    <w:p>
      <w:pPr>
        <w:pStyle w:val="ListBullet"/>
        <w:numPr>
          <w:ilvl w:val="0"/>
          <w:numId w:val="1"/>
        </w:numPr>
      </w:pPr>
      <w:r>
        <w:t xml:space="preserve">Everyone can commit</w:t>
      </w:r>
    </w:p>
    <w:p>
      <w:pPr>
        <w:pStyle w:val="Heading2"/>
      </w:pPr>
      <w:r>
        <w:t xml:space="preserve">5 · How We Decide</w:t>
      </w:r>
    </w:p>
    <w:p>
      <w:pPr>
        <w:pStyle w:val="ListBullet"/>
        <w:numPr>
          <w:ilvl w:val="0"/>
          <w:numId w:val="1"/>
        </w:numPr>
      </w:pPr>
      <w:r>
        <w:t xml:space="preserve">A default method is chosen</w:t>
      </w:r>
    </w:p>
    <w:p>
      <w:pPr>
        <w:pStyle w:val="ListBullet"/>
        <w:numPr>
          <w:ilvl w:val="0"/>
          <w:numId w:val="1"/>
        </w:numPr>
      </w:pPr>
      <w:r>
        <w:t xml:space="preserve">Who decides product, technical and process questions?</w:t>
      </w:r>
    </w:p>
    <w:p>
      <w:pPr>
        <w:pStyle w:val="Heading2"/>
      </w:pPr>
      <w:r>
        <w:t xml:space="preserve">6 · Ways of Working</w:t>
      </w:r>
    </w:p>
    <w:p>
      <w:pPr>
        <w:pStyle w:val="ListBullet"/>
        <w:numPr>
          <w:ilvl w:val="0"/>
          <w:numId w:val="1"/>
        </w:numPr>
      </w:pPr>
      <w:r>
        <w:t xml:space="preserve">Cadence and times are filled in</w:t>
      </w:r>
    </w:p>
    <w:p>
      <w:pPr>
        <w:pStyle w:val="ListBullet"/>
        <w:numPr>
          <w:ilvl w:val="0"/>
          <w:numId w:val="1"/>
        </w:numPr>
      </w:pPr>
      <w:r>
        <w:t xml:space="preserve">One place for the board and the backlog</w:t>
      </w:r>
    </w:p>
    <w:p>
      <w:pPr>
        <w:pStyle w:val="Heading2"/>
      </w:pPr>
      <w:r>
        <w:t xml:space="preserve">7 · Definition of Ready</w:t>
      </w:r>
    </w:p>
    <w:p>
      <w:pPr>
        <w:pStyle w:val="ListBullet"/>
        <w:numPr>
          <w:ilvl w:val="0"/>
          <w:numId w:val="1"/>
        </w:numPr>
      </w:pPr>
      <w:r>
        <w:t xml:space="preserve">Short, and a guide not a gate</w:t>
      </w:r>
    </w:p>
    <w:p>
      <w:pPr>
        <w:pStyle w:val="ListBullet"/>
        <w:numPr>
          <w:ilvl w:val="0"/>
          <w:numId w:val="1"/>
        </w:numPr>
      </w:pPr>
      <w:r>
        <w:t xml:space="preserve">Includes “small enough for an iteration”</w:t>
      </w:r>
    </w:p>
    <w:p>
      <w:pPr>
        <w:pStyle w:val="Heading2"/>
      </w:pPr>
      <w:r>
        <w:t xml:space="preserve">8 · Definition of Done</w:t>
      </w:r>
    </w:p>
    <w:p>
      <w:pPr>
        <w:pStyle w:val="ListBullet"/>
        <w:numPr>
          <w:ilvl w:val="0"/>
          <w:numId w:val="1"/>
        </w:numPr>
      </w:pPr>
      <w:r>
        <w:t xml:space="preserve">Includes testing and review</w:t>
      </w:r>
    </w:p>
    <w:p>
      <w:pPr>
        <w:pStyle w:val="ListBullet"/>
        <w:numPr>
          <w:ilvl w:val="0"/>
          <w:numId w:val="1"/>
        </w:numPr>
      </w:pPr>
      <w:r>
        <w:t xml:space="preserve">Done means releasable</w:t>
      </w:r>
    </w:p>
    <w:p>
      <w:pPr>
        <w:pStyle w:val="Heading2"/>
      </w:pPr>
      <w:r>
        <w:t xml:space="preserve">9 · Conflict &amp; Review</w:t>
      </w:r>
    </w:p>
    <w:p>
      <w:pPr>
        <w:pStyle w:val="ListBullet"/>
        <w:numPr>
          <w:ilvl w:val="0"/>
          <w:numId w:val="1"/>
        </w:numPr>
      </w:pPr>
      <w:r>
        <w:t xml:space="preserve">A first step when we disagree</w:t>
      </w:r>
    </w:p>
    <w:p>
      <w:pPr>
        <w:pStyle w:val="ListBullet"/>
        <w:numPr>
          <w:ilvl w:val="0"/>
          <w:numId w:val="1"/>
        </w:numPr>
      </w:pPr>
      <w:r>
        <w:t xml:space="preserve">A review trigger is ticked</w:t>
      </w:r>
    </w:p>
    <w:p>
      <w:pPr>
        <w:pStyle w:val="Heading1"/>
      </w:pPr>
      <w:r>
        <w:t xml:space="preserve">Facilitation tips</w:t>
      </w:r>
    </w:p>
    <w:p>
      <w:r>
        <w:rPr>
          <w:b/>
        </w:rPr>
        <w:t xml:space="preserve">The team writes it. </w:t>
      </w:r>
      <w:r>
        <w:t xml:space="preserve">A charter handed down by a manager is a policy. Facilitate; don't author.</w:t>
      </w:r>
    </w:p>
    <w:p>
      <w:r>
        <w:rPr>
          <w:b/>
        </w:rPr>
        <w:t xml:space="preserve">Specific beats nice. </w:t>
      </w:r>
      <w:r>
        <w:t xml:space="preserve">“We respect each other” can't be broken. “We reply to review requests within a day” can.</w:t>
      </w:r>
    </w:p>
    <w:p>
      <w:r>
        <w:rPr>
          <w:b/>
        </w:rPr>
        <w:t xml:space="preserve">Decide how you decide. </w:t>
      </w:r>
      <w:r>
        <w:t xml:space="preserve">Many team conflicts are really about decision rights. Settle them before they matter.</w:t>
      </w:r>
    </w:p>
    <w:p>
      <w:r>
        <w:rPr>
          <w:b/>
        </w:rPr>
        <w:t xml:space="preserve">Ready is a guide. </w:t>
      </w:r>
      <w:r>
        <w:t xml:space="preserve">A strict Definition of Ready can become a hand-off gate. Use it to prompt conversation.</w:t>
      </w:r>
    </w:p>
    <w:p>
      <w:r>
        <w:rPr>
          <w:b/>
        </w:rPr>
        <w:t xml:space="preserve">Done grows over time. </w:t>
      </w:r>
      <w:r>
        <w:t xml:space="preserve">Start with what the team can achieve now, and raise the bar at retrospectives.</w:t>
      </w:r>
    </w:p>
    <w:p>
      <w:r>
        <w:rPr>
          <w:b/>
        </w:rPr>
        <w:t xml:space="preserve">Keep it visible. </w:t>
      </w:r>
      <w:r>
        <w:t xml:space="preserve">Pin it up or link it from the team board, and point to it when an agreement is broken.</w:t>
      </w:r>
    </w:p>
    <w:p>
      <w:r>
        <w:rPr>
          <w:b/>
        </w:rPr>
        <w:t xml:space="preserve">Common pitfalls: </w:t>
      </w:r>
      <w:r>
        <w:t xml:space="preserve">a purpose written by someone outside the team; generic values with no examples; dozens of agreements nobody remembers; a Definition of Done the team can't meet yet; signing it once and never looking at it again.</w:t>
      </w:r>
    </w:p>
    <w:p>
      <w:pPr>
        <w:pStyle w:val="Heading1"/>
      </w:pPr>
      <w:r>
        <w:t xml:space="preserve">After the session</w:t>
      </w:r>
    </w:p>
    <w:p>
      <w:r>
        <w:rPr>
          <w:b/>
        </w:rPr>
        <w:t xml:space="preserve">Straight away: </w:t>
      </w:r>
      <w:r>
        <w:t xml:space="preserve">Photograph the board and put a copy where the team works, physically or online.</w:t>
      </w:r>
    </w:p>
    <w:p>
      <w:r>
        <w:rPr>
          <w:b/>
        </w:rPr>
        <w:t xml:space="preserve">First retro: </w:t>
      </w:r>
      <w:r>
        <w:t xml:space="preserve">Ask: which agreements are we keeping? Which aren't working? Update the charter.</w:t>
      </w:r>
    </w:p>
    <w:p>
      <w:r>
        <w:rPr>
          <w:b/>
        </w:rPr>
        <w:t xml:space="preserve">When the team changes: </w:t>
      </w:r>
      <w:r>
        <w:t xml:space="preserve">Walk new members through it and invite them to challenge it.</w:t>
      </w:r>
    </w:p>
    <w:p>
      <w:r>
        <w:rPr>
          <w:b/>
        </w:rPr>
        <w:t xml:space="preserve">Every quarter: </w:t>
      </w:r>
      <w:r>
        <w:t xml:space="preserve">Review the purpose and the Definition of Done. Raise the bar if the team is ready.</w:t>
      </w:r>
    </w:p>
    <w:p>
      <w:pPr>
        <w:pStyle w:val="Heading1"/>
      </w:pPr>
      <w:r>
        <w:t xml:space="preserve">How it fits the toolkit</w:t>
      </w:r>
    </w:p>
    <w:p>
      <w:r>
        <w:t xml:space="preserve">The lifecycle tools follow the work from start to finish: a </w:t>
      </w:r>
      <w:r>
        <w:t xml:space="preserve">Team Charter</w:t>
      </w:r>
      <w:r>
        <w:t xml:space="preserve"> when a team forms, a </w:t>
      </w:r>
      <w:r>
        <w:t xml:space="preserve">Product Vision Board</w:t>
      </w:r>
      <w:r>
        <w:t xml:space="preserve"> to agree why the product exists, the </w:t>
      </w:r>
      <w:r>
        <w:t xml:space="preserve">Prioritisation Board</w:t>
      </w:r>
      <w:r>
        <w:t xml:space="preserve"> to decide what comes first, then </w:t>
      </w:r>
      <w:r>
        <w:t xml:space="preserve">Sprint Planning</w:t>
      </w:r>
      <w:r>
        <w:t xml:space="preserve"> and </w:t>
      </w:r>
      <w:r>
        <w:t xml:space="preserve">Sprint Review</w:t>
      </w:r>
      <w:r>
        <w:t xml:space="preserve"> each iteration, with a retrospective from the Retro Kit to close the loop. The break-down tools (Epic Canvas, Story Map, Story Splitting, Example Mapping) sit between vision and planning.</w:t>
      </w:r>
    </w:p>
    <w:p>
      <w:pPr>
        <w:pStyle w:val="Heading1"/>
      </w:pPr>
      <w:r>
        <w:t xml:space="preserve">Recreate it in your whiteboard</w:t>
      </w:r>
    </w:p>
    <w:p>
      <w:pPr>
        <w:pStyle w:val="Small"/>
      </w:pPr>
      <w:r>
        <w:t xml:space="preserve">Paste this into your whiteboard's AI assistant (for example Miro AI or Atlassian Rovo) or a general assistant, to get an editable, native version of the board. Results vary by tool, so expect to tidy it up. For an exact copy, import the SVG as a locked background instead.</w:t>
      </w:r>
    </w:p>
    <w:p>
      <w:r>
        <w:t xml:space="preserve">Create an editable whiteboard for “Team Charter”, a workshop board.</w:t>
      </w:r>
    </w:p>
    <w:p>
      <w:r>
        <w:t xml:space="preserve">Purpose: Agree why the team exists, how it works together, and what Ready and Done mean, before the work starts.</w:t>
      </w:r>
    </w:p>
    <w:p>
      <w:r>
        <w:t xml:space="preserve">Layout: a wide landscape board (about 16:11). Make one frame per section below, placed as described. In each frame, add the section name as a heading, then its content as short text labels or empty fields to fill in. Leave space in each frame for sticky notes. Use the header colour given. Keep the wording as written and don't add extra content.</w:t>
      </w:r>
    </w:p>
    <w:p>
      <w:r>
        <w:t xml:space="preserve">Header fields to fill in: Team, Date</w:t>
      </w:r>
    </w:p>
    <w:p>
      <w:r>
        <w:t xml:space="preserve">Sections:</w:t>
      </w:r>
    </w:p>
    <w:p>
      <w:r>
        <w:t xml:space="preserve">1. Purpose: top left, about 50% wide and 35% tall; header colour purple.</w:t>
      </w:r>
    </w:p>
    <w:p>
      <w:r>
        <w:t xml:space="preserve">   Subtitle: Why does this team exist?</w:t>
      </w:r>
    </w:p>
    <w:p>
      <w:r>
        <w:t xml:space="preserve">   Content: We exist to… · for… · We succeed when…</w:t>
      </w:r>
    </w:p>
    <w:p>
      <w:r>
        <w:t xml:space="preserve">2. Members &amp; Roles: top centre, about 25% wide and 35% tall; header colour blue.</w:t>
      </w:r>
    </w:p>
    <w:p>
      <w:r>
        <w:t xml:space="preserve">   Content: Name: · Role: · What I bring:</w:t>
      </w:r>
    </w:p>
    <w:p>
      <w:r>
        <w:t xml:space="preserve">3. Our Values: top right, about 25% wide and 35% tall; header colour emerald green.</w:t>
      </w:r>
    </w:p>
    <w:p>
      <w:r>
        <w:t xml:space="preserve">   Subtitle: What matters to us</w:t>
      </w:r>
    </w:p>
    <w:p>
      <w:r>
        <w:t xml:space="preserve">   Content: 3–5 values, each with an example of it in action</w:t>
      </w:r>
    </w:p>
    <w:p>
      <w:r>
        <w:t xml:space="preserve">4. Working Agreements: middle left, about 50% wide and 35% tall; header colour orange.</w:t>
      </w:r>
    </w:p>
    <w:p>
      <w:r>
        <w:t xml:space="preserve">   Subtitle: We agree to…</w:t>
      </w:r>
    </w:p>
    <w:p>
      <w:r>
        <w:t xml:space="preserve">   Content: Communication, core hours, meetings, feedback, how we handle interruptions · One agreement per sticky, written as “We…”</w:t>
      </w:r>
    </w:p>
    <w:p>
      <w:r>
        <w:t xml:space="preserve">5. How We Decide: middle centre, about 25% wide and 35% tall; header colour sky blue.</w:t>
      </w:r>
    </w:p>
    <w:p>
      <w:r>
        <w:t xml:space="preserve">   Content: Consent: no one objects · Consensus: everyone agrees · Majority vote · Consult, then one person decides · Delegated to an owner · Default method, and who decides what:</w:t>
      </w:r>
    </w:p>
    <w:p>
      <w:r>
        <w:t xml:space="preserve">6. Ways of Working: middle right, about 25% wide and 35% tall; header colour slate grey.</w:t>
      </w:r>
    </w:p>
    <w:p>
      <w:r>
        <w:t xml:space="preserve">   Subtitle: Cadence &amp; tools</w:t>
      </w:r>
    </w:p>
    <w:p>
      <w:r>
        <w:t xml:space="preserve">   Content: Iteration length: · Planning: · Daily sync: · Review: · Retro: · Board / tools: · Channels:</w:t>
      </w:r>
    </w:p>
    <w:p>
      <w:r>
        <w:t xml:space="preserve">7. Definition of Ready: bottom left, about 35% wide and 30% tall; header colour amber.</w:t>
      </w:r>
    </w:p>
    <w:p>
      <w:r>
        <w:t xml:space="preserve">   Subtitle: Before we start an item</w:t>
      </w:r>
    </w:p>
    <w:p>
      <w:r>
        <w:t xml:space="preserve">   Content: e.g. value is clear, it's small enough, examples agreed</w:t>
      </w:r>
    </w:p>
    <w:p>
      <w:r>
        <w:t xml:space="preserve">8. Definition of Done: bottom centre, about 35% wide and 30% tall; header colour dark green.</w:t>
      </w:r>
    </w:p>
    <w:p>
      <w:r>
        <w:t xml:space="preserve">   Subtitle: Before we call it done</w:t>
      </w:r>
    </w:p>
    <w:p>
      <w:r>
        <w:t xml:space="preserve">   Content: e.g. tested, reviewed, documented, releasable</w:t>
      </w:r>
    </w:p>
    <w:p>
      <w:r>
        <w:t xml:space="preserve">9. Conflict &amp; Review: bottom right, about 35% wide and 30% tall; header colour red.</w:t>
      </w:r>
    </w:p>
    <w:p>
      <w:r>
        <w:t xml:space="preserve">   Content: When we disagree, we… · We review this charter: · Every quarter · When someone joins · When it stops working · Signed by the team:</w:t>
      </w:r>
    </w:p>
    <w:p>
      <w:r>
        <w:t xml:space="preserve">Footer questions: “What would make this the best team any of us has worked on?” “Which of these agreements will we find hardest to keep?”</w:t>
      </w:r>
    </w:p>
    <w:p>
      <w:r>
        <w:t xml:space="preserve">Original board for reference: https://eparker71.github.io/better-delivery-toolkit/boards/team-charter-board.html</w:t>
      </w:r>
    </w:p>
    <w:p>
      <w:pPr>
        <w:pStyle w:val="Small"/>
      </w:pPr>
      <w:r>
        <w:t xml:space="preserve">Boards: https://eparker71.github.io/better-delivery-toolkit/boards/team-charter-board.html  ·  Online guide: https://eparker71.github.io/better-delivery-toolkit/guides/facilitator-guide-team-charter.html</w:t>
      </w:r>
    </w:p>
    <w:p>
      <w:pPr>
        <w:pStyle w:val="Small"/>
      </w:pPr>
      <w:r>
        <w:t xml:space="preserve">© 2026 Eric Parker · CC BY 4.0 · eparker71.github.io/better-delivery-toolkit · Adapt it freely; please keep the credit and say what you changed.</w:t>
      </w:r>
    </w:p>
    <w:sectPr>
      <w:pgSz w:w="11906" w:h="16838"/>
      <w:pgMar w:top="1134" w:right="1134" w:bottom="1134" w:left="1134" w:header="567" w:footer="567" w:gutter="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num w:numId="1">
    <w:abstractNumId w:val="0"/>
  </w:num>
</w:numbering>
</file>

<file path=word/styles.xml><?xml version="1.0" encoding="utf-8"?>
<w:styles xmlns:w="http://schemas.openxmlformats.org/wordprocessingml/2006/main">
  <w:docDefaults>
    <w:rPrDefault>
      <w:rPr>
        <w:rFonts w:ascii="Calibri" w:hAnsi="Calibri" w:cs="Calibri"/>
        <w:sz w:val="21"/>
        <w:color w:val="1E293B"/>
      </w:rPr>
    </w:rPrDefault>
    <w:pPrDefault>
      <w:pPr>
        <w:spacing w:after="120" w:line="276" w:lineRule="auto"/>
      </w:pPr>
    </w:pPrDefault>
  </w:docDefaults>
  <w:style w:type="paragraph" w:default="1" w:styleId="Normal">
    <w:name w:val="Normal"/>
  </w:style>
  <w:style w:type="paragraph" w:styleId="Title">
    <w:name w:val="Title"/>
    <w:basedOn w:val="Normal"/>
    <w:next w:val="Normal"/>
    <w:pPr>
      <w:spacing w:after="60"/>
    </w:pPr>
    <w:rPr>
      <w:rFonts w:ascii="Georgia" w:hAnsi="Georgia"/>
      <w:sz w:val="48"/>
      <w:color w:val="0C1A2E"/>
    </w:rPr>
  </w:style>
  <w:style w:type="paragraph" w:styleId="Heading1">
    <w:name w:val="heading 1"/>
    <w:basedOn w:val="Normal"/>
    <w:next w:val="Normal"/>
    <w:pPr>
      <w:keepNext/>
      <w:spacing w:before="320" w:after="100"/>
      <w:outlineLvl w:val="0"/>
    </w:pPr>
    <w:rPr>
      <w:rFonts w:ascii="Georgia" w:hAnsi="Georgia"/>
      <w:sz w:val="32"/>
      <w:color w:val="0C1A2E"/>
    </w:rPr>
  </w:style>
  <w:style w:type="paragraph" w:styleId="Heading2">
    <w:name w:val="heading 2"/>
    <w:basedOn w:val="Normal"/>
    <w:next w:val="Normal"/>
    <w:pPr>
      <w:keepNext/>
      <w:spacing w:before="200" w:after="60"/>
      <w:outlineLvl w:val="1"/>
    </w:pPr>
    <w:rPr>
      <w:b/>
      <w:sz w:val="23"/>
      <w:color w:val="9A3412"/>
    </w:rPr>
  </w:style>
  <w:style w:type="paragraph" w:styleId="Quote">
    <w:name w:val="Quote"/>
    <w:basedOn w:val="Normal"/>
    <w:pPr>
      <w:ind w:left="284"/>
      <w:pBdr>
        <w:left w:val="single" w:sz="18" w:space="8" w:color="EB6C36"/>
      </w:pBdr>
    </w:pPr>
    <w:rPr>
      <w:rFonts w:ascii="Georgia" w:hAnsi="Georgia"/>
      <w:i/>
      <w:sz w:val="26"/>
    </w:rPr>
  </w:style>
  <w:style w:type="paragraph" w:styleId="ListBullet">
    <w:name w:val="List Bullet"/>
    <w:basedOn w:val="Normal"/>
    <w:pPr>
      <w:spacing w:after="40"/>
    </w:pPr>
  </w:style>
  <w:style w:type="paragraph" w:styleId="Small">
    <w:name w:val="Small"/>
    <w:basedOn w:val="Normal"/>
    <w:rPr>
      <w:sz w:val="17"/>
      <w:color w:val="64748B"/>
    </w:rPr>
  </w:style>
  <w:style w:type="table" w:styleId="TableGrid">
    <w:name w:val="Table Grid"/>
    <w:tblP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top w:w="60" w:type="dxa"/>
        <w:left w:w="100" w:type="dxa"/>
        <w:bottom w:w="60" w:type="dxa"/>
        <w:right w:w="100" w:type="dxa"/>
      </w:tblCellMar>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docProps/core.xml><?xml version="1.0" encoding="utf-8"?>
<cp:coreProperties xmlns:cp="http://schemas.openxmlformats.org/package/2006/metadata/core-properties" xmlns:dc="http://purl.org/dc/elements/1.1/" xmlns:dcterms="http://purl.org/dc/terms/" xmlns:xsi="http://www.w3.org/2001/XMLSchema-instance">
  <dc:title>Team Charter Guide</dc:title>
  <dc:creator>Eric Parker</dc:creator>
</cp:coreProperties>
</file>