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Objectives &amp; Key Results Guide</w:t>
      </w:r>
    </w:p>
    <w:p>
      <w:r>
        <w:rPr>
          <w:i/>
        </w:rPr>
        <w:t xml:space="preserve">How to set a few ambitious objectives, measurable key results, and the bets teams will make to move them.</w:t>
      </w:r>
    </w:p>
    <w:p>
      <w:pPr>
        <w:pStyle w:val="Small"/>
      </w:pPr>
      <w:r>
        <w:t xml:space="preserve">Facilitator Run-Sheet · Coordinate Teams · OKRs · Outcomes Over Output</w:t>
      </w:r>
    </w:p>
    <w:p>
      <w:pPr>
        <w:pStyle w:val="Quote"/>
      </w:pPr>
      <w:r>
        <w:rPr>
          <w:i/>
        </w:rPr>
        <w:t xml:space="preserve">“If we achieved only one of these, which would matter most?”</w:t>
      </w:r>
    </w:p>
    <w:p>
      <w:r>
        <w:t xml:space="preserve">OKRs give several teams a shared direction without dictating the work. An </w:t>
      </w:r>
      <w:r>
        <w:rPr>
          <w:b/>
        </w:rPr>
        <w:t xml:space="preserve">objective</w:t>
      </w:r>
      <w:r>
        <w:t xml:space="preserve"> is a qualitative, inspiring goal; its </w:t>
      </w:r>
      <w:r>
        <w:rPr>
          <w:b/>
        </w:rPr>
        <w:t xml:space="preserve">key results</w:t>
      </w:r>
      <w:r>
        <w:t xml:space="preserve"> are measurable outcomes that show whether you got there. </w:t>
      </w:r>
      <w:r>
        <w:rPr>
          <w:b/>
        </w:rPr>
        <w:t xml:space="preserve">Initiatives</w:t>
      </w:r>
      <w:r>
        <w:t xml:space="preserve"> are the bets teams make to move the key results. The method was developed at Intel by Andy Grove and spread through John Doerr's </w:t>
      </w:r>
      <w:r>
        <w:rPr>
          <w:i/>
        </w:rPr>
        <w:t xml:space="preserve">Measure What Matters</w:t>
      </w:r>
      <w:r>
        <w:t xml:space="preserve">. A short </w:t>
      </w:r>
      <w:r>
        <w:rPr>
          <w:b/>
        </w:rPr>
        <w:t xml:space="preserve">not-doing</w:t>
      </w:r>
      <w:r>
        <w:t xml:space="preserve"> list keeps the focus honest.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Leaders, POs,</w:t>
            </w:r>
            <w:r>
              <w:br/>
            </w:r>
            <w:r>
              <w:t xml:space="preserve">team reps</w:t>
            </w:r>
          </w:p>
        </w:tc>
        <w:tc>
          <w:tcPr>
            <w:tcW w:w="2250" w:type="dxa"/>
          </w:tcPr>
          <w:p>
            <w:r>
              <w:t xml:space="preserve">The start of a quarter</w:t>
            </w:r>
            <w:r>
              <w:br/>
            </w:r>
            <w:r>
              <w:t xml:space="preserve">or planning period</w:t>
            </w:r>
          </w:p>
        </w:tc>
        <w:tc>
          <w:tcPr>
            <w:tcW w:w="2250" w:type="dxa"/>
          </w:tcPr>
          <w:p>
            <w:r>
              <w:t xml:space="preserve">3 objectives, KRs</w:t>
            </w:r>
            <w:r>
              <w:br/>
            </w:r>
            <w:r>
              <w:t xml:space="preserve">&amp; first bets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Bring the product vision, strategy, and last period's results</w:t>
      </w:r>
    </w:p>
    <w:p>
      <w:pPr>
        <w:pStyle w:val="ListBullet"/>
        <w:numPr>
          <w:ilvl w:val="0"/>
          <w:numId w:val="1"/>
        </w:numPr>
      </w:pPr>
      <w:r>
        <w:t xml:space="preserve">Gather baseline data for likely measures</w:t>
      </w:r>
    </w:p>
    <w:p>
      <w:pPr>
        <w:pStyle w:val="ListBullet"/>
        <w:numPr>
          <w:ilvl w:val="0"/>
          <w:numId w:val="1"/>
        </w:numPr>
      </w:pPr>
      <w:r>
        <w:t xml:space="preserve">Invite people who can commit their teams' effort</w:t>
      </w:r>
    </w:p>
    <w:p>
      <w:pPr>
        <w:pStyle w:val="ListBullet"/>
        <w:numPr>
          <w:ilvl w:val="0"/>
          <w:numId w:val="1"/>
        </w:numPr>
      </w:pPr>
      <w:r>
        <w:t xml:space="preserve">Yellow stickies, markers and dot stickers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Focus for This Period</w:t>
            </w:r>
          </w:p>
        </w:tc>
        <w:tc>
          <w:tcPr>
            <w:tcW w:w="5400" w:type="dxa"/>
          </w:tcPr>
          <w:p>
            <w:r>
              <w:t xml:space="preserve">Agree why these objectives, and why now. Review last period's scores briefly.</w:t>
            </w:r>
          </w:p>
        </w:tc>
      </w:tr>
      <w:tr>
        <w:tc>
          <w:tcPr>
            <w:tcW w:w="1300" w:type="dxa"/>
          </w:tcPr>
          <w:p>
            <w:r>
              <w:t xml:space="preserve">15–50</w:t>
            </w:r>
          </w:p>
        </w:tc>
        <w:tc>
          <w:tcPr>
            <w:tcW w:w="2300" w:type="dxa"/>
          </w:tcPr>
          <w:p>
            <w:r>
              <w:t xml:space="preserve">Objectives</w:t>
            </w:r>
          </w:p>
        </w:tc>
        <w:tc>
          <w:tcPr>
            <w:tcW w:w="5400" w:type="dxa"/>
          </w:tcPr>
          <w:p>
            <w:r>
              <w:t xml:space="preserve">Brainstorm candidate objectives, dot-vote, and keep at most three. Write each as “We will…”</w:t>
            </w:r>
          </w:p>
        </w:tc>
      </w:tr>
      <w:tr>
        <w:tc>
          <w:tcPr>
            <w:tcW w:w="1300" w:type="dxa"/>
          </w:tcPr>
          <w:p>
            <w:r>
              <w:t xml:space="preserve">50–100</w:t>
            </w:r>
          </w:p>
        </w:tc>
        <w:tc>
          <w:tcPr>
            <w:tcW w:w="2300" w:type="dxa"/>
          </w:tcPr>
          <w:p>
            <w:r>
              <w:t xml:space="preserve">Key Results</w:t>
            </w:r>
          </w:p>
        </w:tc>
        <w:tc>
          <w:tcPr>
            <w:tcW w:w="5400" w:type="dxa"/>
          </w:tcPr>
          <w:p>
            <w:r>
              <w:t xml:space="preserve">For each objective, agree 2–4 measurable outcomes with a start value and a target. Rate confidence 1–10.</w:t>
            </w:r>
          </w:p>
        </w:tc>
      </w:tr>
      <w:tr>
        <w:tc>
          <w:tcPr>
            <w:tcW w:w="1300" w:type="dxa"/>
          </w:tcPr>
          <w:p>
            <w:r>
              <w:t xml:space="preserve">100–130</w:t>
            </w:r>
          </w:p>
        </w:tc>
        <w:tc>
          <w:tcPr>
            <w:tcW w:w="2300" w:type="dxa"/>
          </w:tcPr>
          <w:p>
            <w:r>
              <w:t xml:space="preserve">Initiatives</w:t>
            </w:r>
          </w:p>
        </w:tc>
        <w:tc>
          <w:tcPr>
            <w:tcW w:w="5400" w:type="dxa"/>
          </w:tcPr>
          <w:p>
            <w:r>
              <w:t xml:space="preserve">Teams propose bets that could move each key result. Name the contributing teams.</w:t>
            </w:r>
          </w:p>
        </w:tc>
      </w:tr>
      <w:tr>
        <w:tc>
          <w:tcPr>
            <w:tcW w:w="1300" w:type="dxa"/>
          </w:tcPr>
          <w:p>
            <w:r>
              <w:t xml:space="preserve">130–145</w:t>
            </w:r>
          </w:p>
        </w:tc>
        <w:tc>
          <w:tcPr>
            <w:tcW w:w="2300" w:type="dxa"/>
          </w:tcPr>
          <w:p>
            <w:r>
              <w:t xml:space="preserve">4 · Check-in Rhythm</w:t>
            </w:r>
          </w:p>
        </w:tc>
        <w:tc>
          <w:tcPr>
            <w:tcW w:w="5400" w:type="dxa"/>
          </w:tcPr>
          <w:p>
            <w:r>
              <w:t xml:space="preserve">Agree when to check confidence, when to review mid-period, and how to score at the end.</w:t>
            </w:r>
          </w:p>
        </w:tc>
      </w:tr>
      <w:tr>
        <w:tc>
          <w:tcPr>
            <w:tcW w:w="1300" w:type="dxa"/>
          </w:tcPr>
          <w:p>
            <w:r>
              <w:t xml:space="preserve">145–160</w:t>
            </w:r>
          </w:p>
        </w:tc>
        <w:tc>
          <w:tcPr>
            <w:tcW w:w="2300" w:type="dxa"/>
          </w:tcPr>
          <w:p>
            <w:r>
              <w:t xml:space="preserve">5 · Not Doing · Close</w:t>
            </w:r>
          </w:p>
        </w:tc>
        <w:tc>
          <w:tcPr>
            <w:tcW w:w="5400" w:type="dxa"/>
          </w:tcPr>
          <w:p>
            <w:r>
              <w:t xml:space="preserve">List what you're explicitly not doing this period. Read the board back.</w:t>
            </w:r>
          </w:p>
        </w:tc>
      </w:tr>
    </w:tbl>
    <w:p/>
    <w:p>
      <w:pPr>
        <w:pStyle w:val="Heading1"/>
      </w:pPr>
      <w:r>
        <w:t xml:space="preserve">Making each part strong</w:t>
      </w:r>
    </w:p>
    <w:p>
      <w:r>
        <w:t xml:space="preserve">Quality checks for objectives, key results and the rest of the board.</w:t>
      </w:r>
    </w:p>
    <w:p>
      <w:pPr>
        <w:pStyle w:val="Heading2"/>
      </w:pPr>
      <w:r>
        <w:t xml:space="preserve">Objectives</w:t>
      </w:r>
    </w:p>
    <w:p>
      <w:pPr>
        <w:pStyle w:val="ListBullet"/>
        <w:numPr>
          <w:ilvl w:val="0"/>
          <w:numId w:val="1"/>
        </w:numPr>
      </w:pPr>
      <w:r>
        <w:t xml:space="preserve">Qualitative and inspiring</w:t>
      </w:r>
    </w:p>
    <w:p>
      <w:pPr>
        <w:pStyle w:val="ListBullet"/>
        <w:numPr>
          <w:ilvl w:val="0"/>
          <w:numId w:val="1"/>
        </w:numPr>
      </w:pPr>
      <w:r>
        <w:t xml:space="preserve">No more than three</w:t>
      </w:r>
    </w:p>
    <w:p>
      <w:pPr>
        <w:pStyle w:val="ListBullet"/>
        <w:numPr>
          <w:ilvl w:val="0"/>
          <w:numId w:val="1"/>
        </w:numPr>
      </w:pPr>
      <w:r>
        <w:t xml:space="preserve">Clear why it matters</w:t>
      </w:r>
    </w:p>
    <w:p>
      <w:pPr>
        <w:pStyle w:val="Heading2"/>
      </w:pPr>
      <w:r>
        <w:t xml:space="preserve">Key Results</w:t>
      </w:r>
    </w:p>
    <w:p>
      <w:pPr>
        <w:pStyle w:val="ListBullet"/>
        <w:numPr>
          <w:ilvl w:val="0"/>
          <w:numId w:val="1"/>
        </w:numPr>
      </w:pPr>
      <w:r>
        <w:t xml:space="preserve">Outcomes, not tasks</w:t>
      </w:r>
    </w:p>
    <w:p>
      <w:pPr>
        <w:pStyle w:val="ListBullet"/>
        <w:numPr>
          <w:ilvl w:val="0"/>
          <w:numId w:val="1"/>
        </w:numPr>
      </w:pPr>
      <w:r>
        <w:t xml:space="preserve">Start and target values</w:t>
      </w:r>
    </w:p>
    <w:p>
      <w:pPr>
        <w:pStyle w:val="ListBullet"/>
        <w:numPr>
          <w:ilvl w:val="0"/>
          <w:numId w:val="1"/>
        </w:numPr>
      </w:pPr>
      <w:r>
        <w:t xml:space="preserve">2–4 per objective</w:t>
      </w:r>
    </w:p>
    <w:p>
      <w:pPr>
        <w:pStyle w:val="Heading2"/>
      </w:pPr>
      <w:r>
        <w:t xml:space="preserve">Initiatives</w:t>
      </w:r>
    </w:p>
    <w:p>
      <w:pPr>
        <w:pStyle w:val="ListBullet"/>
        <w:numPr>
          <w:ilvl w:val="0"/>
          <w:numId w:val="1"/>
        </w:numPr>
      </w:pPr>
      <w:r>
        <w:t xml:space="preserve">Bets, not commitments</w:t>
      </w:r>
    </w:p>
    <w:p>
      <w:pPr>
        <w:pStyle w:val="ListBullet"/>
        <w:numPr>
          <w:ilvl w:val="0"/>
          <w:numId w:val="1"/>
        </w:numPr>
      </w:pPr>
      <w:r>
        <w:t xml:space="preserve">Linked to a key result</w:t>
      </w:r>
    </w:p>
    <w:p>
      <w:pPr>
        <w:pStyle w:val="ListBullet"/>
        <w:numPr>
          <w:ilvl w:val="0"/>
          <w:numId w:val="1"/>
        </w:numPr>
      </w:pPr>
      <w:r>
        <w:t xml:space="preserve">Teams choose them</w:t>
      </w:r>
    </w:p>
    <w:p>
      <w:pPr>
        <w:pStyle w:val="Heading2"/>
      </w:pPr>
      <w:r>
        <w:t xml:space="preserve">4 · Check-in Rhythm</w:t>
      </w:r>
    </w:p>
    <w:p>
      <w:pPr>
        <w:pStyle w:val="ListBullet"/>
        <w:numPr>
          <w:ilvl w:val="0"/>
          <w:numId w:val="1"/>
        </w:numPr>
      </w:pPr>
      <w:r>
        <w:t xml:space="preserve">Confidence tracked weekly</w:t>
      </w:r>
    </w:p>
    <w:p>
      <w:pPr>
        <w:pStyle w:val="ListBullet"/>
        <w:numPr>
          <w:ilvl w:val="0"/>
          <w:numId w:val="1"/>
        </w:numPr>
      </w:pPr>
      <w:r>
        <w:t xml:space="preserve">Scoring agreed up front</w:t>
      </w:r>
    </w:p>
    <w:p>
      <w:pPr>
        <w:pStyle w:val="Heading2"/>
      </w:pPr>
      <w:r>
        <w:t xml:space="preserve">5 · Not Doing</w:t>
      </w:r>
    </w:p>
    <w:p>
      <w:pPr>
        <w:pStyle w:val="ListBullet"/>
        <w:numPr>
          <w:ilvl w:val="0"/>
          <w:numId w:val="1"/>
        </w:numPr>
      </w:pPr>
      <w:r>
        <w:t xml:space="preserve">Real things people expected</w:t>
      </w:r>
    </w:p>
    <w:p>
      <w:pPr>
        <w:pStyle w:val="ListBullet"/>
        <w:numPr>
          <w:ilvl w:val="0"/>
          <w:numId w:val="1"/>
        </w:numPr>
      </w:pPr>
      <w:r>
        <w:t xml:space="preserve">Shared widely</w:t>
      </w:r>
    </w:p>
    <w:p>
      <w:pPr>
        <w:pStyle w:val="Heading1"/>
      </w:pPr>
      <w:r>
        <w:t xml:space="preserve">Facilitation tips</w:t>
      </w:r>
    </w:p>
    <w:p>
      <w:r>
        <w:rPr>
          <w:b/>
        </w:rPr>
        <w:t xml:space="preserve">Outcomes, not output. </w:t>
      </w:r>
      <w:r>
        <w:t xml:space="preserve">“Launch the new app” is a task. “Cut onboarding time from 10 to 3 minutes” is a key result.</w:t>
      </w:r>
    </w:p>
    <w:p>
      <w:r>
        <w:rPr>
          <w:b/>
        </w:rPr>
        <w:t xml:space="preserve">Ambitious but honest. </w:t>
      </w:r>
      <w:r>
        <w:t xml:space="preserve">Aim high. Scoring 0.7 on an ambitious key result is often a good result. A long-term BHAG (big hairy audacious goal) can anchor the year's objectives.</w:t>
      </w:r>
    </w:p>
    <w:p>
      <w:r>
        <w:rPr>
          <w:b/>
        </w:rPr>
        <w:t xml:space="preserve">Few beats many. </w:t>
      </w:r>
      <w:r>
        <w:t xml:space="preserve">Three objectives with focus beat ten that spread effort thin.</w:t>
      </w:r>
    </w:p>
    <w:p>
      <w:r>
        <w:rPr>
          <w:b/>
        </w:rPr>
        <w:t xml:space="preserve">Teams pick the bets. </w:t>
      </w:r>
      <w:r>
        <w:t xml:space="preserve">Leaders set the outcomes; teams decide how to move them.</w:t>
      </w:r>
    </w:p>
    <w:p>
      <w:r>
        <w:rPr>
          <w:b/>
        </w:rPr>
        <w:t xml:space="preserve">Don't tie to pay. </w:t>
      </w:r>
      <w:r>
        <w:t xml:space="preserve">OKRs linked to bonuses become sandbagged. Keep them for direction and learning.</w:t>
      </w:r>
    </w:p>
    <w:p>
      <w:r>
        <w:rPr>
          <w:b/>
        </w:rPr>
        <w:t xml:space="preserve">Check confidence often. </w:t>
      </w:r>
      <w:r>
        <w:t xml:space="preserve">A weekly 1–10 confidence check spots trouble early.</w:t>
      </w:r>
    </w:p>
    <w:p>
      <w:r>
        <w:rPr>
          <w:b/>
        </w:rPr>
        <w:t xml:space="preserve">Common pitfalls: </w:t>
      </w:r>
      <w:r>
        <w:t xml:space="preserve">key results that are task lists; too many objectives; targets set without baselines; OKRs used for performance reviews; never checking in until the end; no not-doing list, so nothing changes.</w:t>
      </w:r>
    </w:p>
    <w:p>
      <w:pPr>
        <w:pStyle w:val="Heading1"/>
      </w:pPr>
      <w:r>
        <w:t xml:space="preserve">After the session</w:t>
      </w:r>
    </w:p>
    <w:p>
      <w:r>
        <w:rPr>
          <w:b/>
        </w:rPr>
        <w:t xml:space="preserve">Straight away: </w:t>
      </w:r>
      <w:r>
        <w:t xml:space="preserve">Publish the OKRs where every team can see them.</w:t>
      </w:r>
    </w:p>
    <w:p>
      <w:r>
        <w:rPr>
          <w:b/>
        </w:rPr>
        <w:t xml:space="preserve">Planning: </w:t>
      </w:r>
      <w:r>
        <w:t xml:space="preserve">Use them as the shared objectives on the Cross-Team Planning board.</w:t>
      </w:r>
    </w:p>
    <w:p>
      <w:r>
        <w:rPr>
          <w:b/>
        </w:rPr>
        <w:t xml:space="preserve">Weekly: </w:t>
      </w:r>
      <w:r>
        <w:t xml:space="preserve">Update confidence for each key result; discuss any that drop.</w:t>
      </w:r>
    </w:p>
    <w:p>
      <w:r>
        <w:rPr>
          <w:b/>
        </w:rPr>
        <w:t xml:space="preserve">End of period: </w:t>
      </w:r>
      <w:r>
        <w:t xml:space="preserve">Score each key result, reflect on what you learned, and set the next OKRs.</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“Objectives &amp; Key Results”, a workshop board.</w:t>
      </w:r>
    </w:p>
    <w:p>
      <w:r>
        <w:t xml:space="preserve">Purpose: Agree a few ambitious outcomes, how you'll measure them, and the bets teams will make to move them.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Group / Team, Period</w:t>
      </w:r>
    </w:p>
    <w:p>
      <w:r>
        <w:t xml:space="preserve">Sections:</w:t>
      </w:r>
    </w:p>
    <w:p>
      <w:r>
        <w:t xml:space="preserve">1. Focus for This Period: top full width, about 100% wide and 15% tall; header colour slate grey.</w:t>
      </w:r>
    </w:p>
    <w:p>
      <w:r>
        <w:t xml:space="preserve">   Subtitle: Why these objectives, and why now?</w:t>
      </w:r>
    </w:p>
    <w:p>
      <w:r>
        <w:t xml:space="preserve">2. Objective 1: middle left, about 35% wide and 65% tall; header colour purple.</w:t>
      </w:r>
    </w:p>
    <w:p>
      <w:r>
        <w:t xml:space="preserve">   Subtitle: Qualitative · inspiring</w:t>
      </w:r>
    </w:p>
    <w:p>
      <w:r>
        <w:t xml:space="preserve">   Content: We will… · KEY RESULTS · MEASURABLE OUTCOMES · Key result: · Start: · Target: · Conf.: · Teams contributing: · Initiatives: the bets we'll make</w:t>
      </w:r>
    </w:p>
    <w:p>
      <w:r>
        <w:t xml:space="preserve">3. Objective 2: middle centre, about 35% wide and 65% tall; header colour blue.</w:t>
      </w:r>
    </w:p>
    <w:p>
      <w:r>
        <w:t xml:space="preserve">   Subtitle: Qualitative · inspiring</w:t>
      </w:r>
    </w:p>
    <w:p>
      <w:r>
        <w:t xml:space="preserve">   Content: We will… · KEY RESULTS · MEASURABLE OUTCOMES · Key result: · Start: · Target: · Conf.: · Teams contributing: · Initiatives: the bets we'll make</w:t>
      </w:r>
    </w:p>
    <w:p>
      <w:r>
        <w:t xml:space="preserve">4. Objective 3: middle right, about 35% wide and 65% tall; header colour emerald green.</w:t>
      </w:r>
    </w:p>
    <w:p>
      <w:r>
        <w:t xml:space="preserve">   Subtitle: Qualitative · inspiring</w:t>
      </w:r>
    </w:p>
    <w:p>
      <w:r>
        <w:t xml:space="preserve">   Content: We will… · KEY RESULTS · MEASURABLE OUTCOMES · Key result: · Start: · Target: · Conf.: · Teams contributing: · Initiatives: the bets we'll make</w:t>
      </w:r>
    </w:p>
    <w:p>
      <w:r>
        <w:t xml:space="preserve">5. Check-in Rhythm: bottom left, about 50% wide and 20% tall; header colour amber.</w:t>
      </w:r>
    </w:p>
    <w:p>
      <w:r>
        <w:t xml:space="preserve">   Subtitle: Confidence 1–10 · score 0–1.0 at the end</w:t>
      </w:r>
    </w:p>
    <w:p>
      <w:r>
        <w:t xml:space="preserve">   Content: Weekly confidence check: · Mid-period review: · End-of-period scoring:</w:t>
      </w:r>
    </w:p>
    <w:p>
      <w:r>
        <w:t xml:space="preserve">6. Not Doing This Period: bottom right, about 50% wide and 20% tall; header colour red.</w:t>
      </w:r>
    </w:p>
    <w:p>
      <w:r>
        <w:t xml:space="preserve">   Subtitle: Focus means saying no</w:t>
      </w:r>
    </w:p>
    <w:p>
      <w:r>
        <w:t xml:space="preserve">Footer questions: “If we achieved only one of these, which would matter most?” “How will we know, without asking anyone, that we've succeeded?”</w:t>
      </w:r>
    </w:p>
    <w:p>
      <w:r>
        <w:t xml:space="preserve">Original board for reference: https://eparker71.github.io/agile-ways-of-working/okr-board.html</w:t>
      </w:r>
    </w:p>
    <w:p>
      <w:pPr>
        <w:pStyle w:val="Small"/>
      </w:pPr>
      <w:r>
        <w:t xml:space="preserve">Boards: https://eparker71.github.io/agile-ways-of-working/okr-board.html  ·  Online guide: https://eparker71.github.io/agile-ways-of-working/facilitator-guide-okr.html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Objectives &amp; Key Results Guide</dc:title>
  <dc:creator>Eric Parker</dc:creator>
</cp:coreProperties>
</file>