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Estimation Guide</w:t>
      </w:r>
    </w:p>
    <w:p>
      <w:r>
        <w:rPr>
          <w:i/>
        </w:rPr>
        <w:t xml:space="preserve">How to size work quickly and fairly with planning poker, T-shirt sizing or affinity estimation, or skip it.</w:t>
      </w:r>
    </w:p>
    <w:p>
      <w:pPr>
        <w:pStyle w:val="Small"/>
      </w:pPr>
      <w:r>
        <w:t xml:space="preserve">Facilitator Run-Sheet · Iterate · Planning Poker · T-Shirt Sizing · Affinity Estimation</w:t>
      </w:r>
    </w:p>
    <w:p>
      <w:pPr>
        <w:pStyle w:val="Quote"/>
      </w:pPr>
      <w:r>
        <w:rPr>
          <w:i/>
        </w:rPr>
        <w:t xml:space="preserve">“Is this bigger or smaller than the last thing we finished?”</w:t>
      </w:r>
    </w:p>
    <w:p>
      <w:r>
        <w:t xml:space="preserve">Estimates help teams plan and spot items that are too big, but they cost time and are often misused. The board offers three ways to estimate </w:t>
      </w:r>
      <w:r>
        <w:rPr>
          <w:b/>
        </w:rPr>
        <w:t xml:space="preserve">relatively</w:t>
      </w:r>
      <w:r>
        <w:t xml:space="preserve">, comparing items with each other rather than guessing hours. </w:t>
      </w:r>
      <w:r>
        <w:rPr>
          <w:b/>
        </w:rPr>
        <w:t xml:space="preserve">Planning poker</w:t>
      </w:r>
      <w:r>
        <w:t xml:space="preserve"> (described by James Grenning, popularised by Mike Cohn) suits a handful of items. </w:t>
      </w:r>
      <w:r>
        <w:rPr>
          <w:b/>
        </w:rPr>
        <w:t xml:space="preserve">T-shirt sizing</w:t>
      </w:r>
      <w:r>
        <w:t xml:space="preserve"> roughly sorts many items. </w:t>
      </w:r>
      <w:r>
        <w:rPr>
          <w:b/>
        </w:rPr>
        <w:t xml:space="preserve">Affinity estimation</w:t>
      </w:r>
      <w:r>
        <w:t xml:space="preserve"> sizes a whole backlog in an hour. It also suggests the alternative many teams find works as well: split items small and </w:t>
      </w:r>
      <w:r>
        <w:rPr>
          <w:b/>
        </w:rPr>
        <w:t xml:space="preserve">count</w:t>
      </w:r>
      <w:r>
        <w:t xml:space="preserve"> them.</w:t>
      </w:r>
    </w:p>
    <w:tbl>
      <w:tblPr>
        <w:tblStyle w:val="TableGrid"/>
        <w:tblW w:w="0" w:type="auto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Duration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Group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Use when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Output</w:t>
            </w:r>
          </w:p>
        </w:tc>
      </w:tr>
      <w:tr>
        <w:tc>
          <w:tcPr>
            <w:tcW w:w="2250" w:type="dxa"/>
          </w:tcPr>
          <w:p>
            <w:r>
              <w:t xml:space="preserve">15–60 min</w:t>
            </w:r>
          </w:p>
        </w:tc>
        <w:tc>
          <w:tcPr>
            <w:tcW w:w="2250" w:type="dxa"/>
          </w:tcPr>
          <w:p>
            <w:r>
              <w:t xml:space="preserve">The people who</w:t>
            </w:r>
            <w:r>
              <w:br/>
            </w:r>
            <w:r>
              <w:t xml:space="preserve">will do the work</w:t>
            </w:r>
          </w:p>
        </w:tc>
        <w:tc>
          <w:tcPr>
            <w:tcW w:w="2250" w:type="dxa"/>
          </w:tcPr>
          <w:p>
            <w:r>
              <w:t xml:space="preserve">Planning, refinement,</w:t>
            </w:r>
            <w:r>
              <w:br/>
            </w:r>
            <w:r>
              <w:t xml:space="preserve">or release forecasting</w:t>
            </w:r>
          </w:p>
        </w:tc>
        <w:tc>
          <w:tcPr>
            <w:tcW w:w="2250" w:type="dxa"/>
          </w:tcPr>
          <w:p>
            <w:r>
              <w:t xml:space="preserve">Relative sizes</w:t>
            </w:r>
            <w:r>
              <w:br/>
            </w:r>
            <w:r>
              <w:t xml:space="preserve">or a count</w:t>
            </w:r>
          </w:p>
        </w:tc>
      </w:tr>
    </w:tbl>
    <w:p/>
    <w:p>
      <w:pPr>
        <w:pStyle w:val="Heading1"/>
      </w:pPr>
      <w:r>
        <w:t xml:space="preserve">Before the session</w:t>
      </w:r>
    </w:p>
    <w:p>
      <w:pPr>
        <w:pStyle w:val="ListBullet"/>
        <w:numPr>
          <w:ilvl w:val="0"/>
          <w:numId w:val="1"/>
        </w:numPr>
      </w:pPr>
      <w:r>
        <w:t xml:space="preserve">Print the board at A3, or load the SVG as a digital background</w:t>
      </w:r>
    </w:p>
    <w:p>
      <w:pPr>
        <w:pStyle w:val="ListBullet"/>
        <w:numPr>
          <w:ilvl w:val="0"/>
          <w:numId w:val="1"/>
        </w:numPr>
      </w:pPr>
      <w:r>
        <w:t xml:space="preserve">Bring the items to estimate, ideally refined with Example Mapping first</w:t>
      </w:r>
    </w:p>
    <w:p>
      <w:pPr>
        <w:pStyle w:val="ListBullet"/>
        <w:numPr>
          <w:ilvl w:val="0"/>
          <w:numId w:val="1"/>
        </w:numPr>
      </w:pPr>
      <w:r>
        <w:t xml:space="preserve">Agree 3–5 reference items everyone remembers, for the Reference Items table</w:t>
      </w:r>
    </w:p>
    <w:p>
      <w:pPr>
        <w:pStyle w:val="ListBullet"/>
        <w:numPr>
          <w:ilvl w:val="0"/>
          <w:numId w:val="1"/>
        </w:numPr>
      </w:pPr>
      <w:r>
        <w:t xml:space="preserve">Planning poker cards, or a phone app, if you use poker</w:t>
      </w:r>
    </w:p>
    <w:p>
      <w:pPr>
        <w:pStyle w:val="Heading1"/>
      </w:pPr>
      <w:r>
        <w:t xml:space="preserve">Agenda &amp; run-sheet</w:t>
      </w:r>
    </w:p>
    <w:tbl>
      <w:tblPr>
        <w:tblStyle w:val="TableGrid"/>
        <w:tblW w:w="0" w:type="auto"/>
      </w:tblPr>
      <w:tblGrid>
        <w:gridCol w:w="1300"/>
        <w:gridCol w:w="2300"/>
        <w:gridCol w:w="5400"/>
      </w:tblGrid>
      <w:tr>
        <w:trPr>
          <w:tblHeader/>
        </w:trPr>
        <w:tc>
          <w:tcPr>
            <w:tcW w:w="1300" w:type="dxa"/>
            <w:shd w:val="clear" w:color="auto" w:fill="EEF2F6"/>
          </w:tcPr>
          <w:p>
            <w:r>
              <w:rPr>
                <w:b/>
              </w:rPr>
              <w:t xml:space="preserve">Use</w:t>
            </w:r>
          </w:p>
        </w:tc>
        <w:tc>
          <w:tcPr>
            <w:tcW w:w="2300" w:type="dxa"/>
            <w:shd w:val="clear" w:color="auto" w:fill="EEF2F6"/>
          </w:tcPr>
          <w:p>
            <w:r>
              <w:rPr>
                <w:b/>
              </w:rPr>
              <w:t xml:space="preserve">Technique</w:t>
            </w:r>
          </w:p>
        </w:tc>
        <w:tc>
          <w:tcPr>
            <w:tcW w:w="5400" w:type="dxa"/>
            <w:shd w:val="clear" w:color="auto" w:fill="EEF2F6"/>
          </w:tcPr>
          <w:p>
            <w:r>
              <w:rPr>
                <w:b/>
              </w:rPr>
              <w:t xml:space="preserve">How to run it</w:t>
            </w:r>
          </w:p>
        </w:tc>
      </w:tr>
      <w:tr>
        <w:tc>
          <w:tcPr>
            <w:tcW w:w="1300" w:type="dxa"/>
          </w:tcPr>
          <w:p>
            <w:r>
              <w:t xml:space="preserve">A few items</w:t>
            </w:r>
          </w:p>
        </w:tc>
        <w:tc>
          <w:tcPr>
            <w:tcW w:w="2300" w:type="dxa"/>
          </w:tcPr>
          <w:p>
            <w:r>
              <w:t xml:space="preserve">1 · Planning Poker</w:t>
            </w:r>
          </w:p>
        </w:tc>
        <w:tc>
          <w:tcPr>
            <w:tcW w:w="5400" w:type="dxa"/>
          </w:tcPr>
          <w:p>
            <w:r>
              <w:t xml:space="preserve">Read the item, everyone picks a card privately, reveal together. The highest and lowest explain, then re-vote. Two rounds at most.</w:t>
            </w:r>
          </w:p>
        </w:tc>
      </w:tr>
      <w:tr>
        <w:tc>
          <w:tcPr>
            <w:tcW w:w="1300" w:type="dxa"/>
          </w:tcPr>
          <w:p>
            <w:r>
              <w:t xml:space="preserve">Many items</w:t>
            </w:r>
          </w:p>
        </w:tc>
        <w:tc>
          <w:tcPr>
            <w:tcW w:w="2300" w:type="dxa"/>
          </w:tcPr>
          <w:p>
            <w:r>
              <w:t xml:space="preserve">2 · T-Shirt Sizing</w:t>
            </w:r>
          </w:p>
        </w:tc>
        <w:tc>
          <w:tcPr>
            <w:tcW w:w="5400" w:type="dxa"/>
          </w:tcPr>
          <w:p>
            <w:r>
              <w:t xml:space="preserve">Agree what a reference “M” is, then place each item in XS to XL. Discuss only items people disagree on.</w:t>
            </w:r>
          </w:p>
        </w:tc>
      </w:tr>
      <w:tr>
        <w:tc>
          <w:tcPr>
            <w:tcW w:w="1300" w:type="dxa"/>
          </w:tcPr>
          <w:p>
            <w:r>
              <w:t xml:space="preserve">A whole backlog</w:t>
            </w:r>
          </w:p>
        </w:tc>
        <w:tc>
          <w:tcPr>
            <w:tcW w:w="2300" w:type="dxa"/>
          </w:tcPr>
          <w:p>
            <w:r>
              <w:t xml:space="preserve">3 · Affinity Estimation</w:t>
            </w:r>
          </w:p>
        </w:tc>
        <w:tc>
          <w:tcPr>
            <w:tcW w:w="5400" w:type="dxa"/>
          </w:tcPr>
          <w:p>
            <w:r>
              <w:t xml:space="preserve">Silently place items left to right by size. Anyone can move anything. Discuss items that keep moving, then draw boundaries.</w:t>
            </w:r>
          </w:p>
        </w:tc>
      </w:tr>
      <w:tr>
        <w:tc>
          <w:tcPr>
            <w:tcW w:w="1300" w:type="dxa"/>
          </w:tcPr>
          <w:p>
            <w:r>
              <w:t xml:space="preserve">Any</w:t>
            </w:r>
          </w:p>
        </w:tc>
        <w:tc>
          <w:tcPr>
            <w:tcW w:w="2300" w:type="dxa"/>
          </w:tcPr>
          <w:p>
            <w:r>
              <w:t xml:space="preserve">4 · Reference Items</w:t>
            </w:r>
          </w:p>
        </w:tc>
        <w:tc>
          <w:tcPr>
            <w:tcW w:w="5400" w:type="dxa"/>
          </w:tcPr>
          <w:p>
            <w:r>
              <w:t xml:space="preserve">Keep shared examples for each size, and compare new items against them.</w:t>
            </w:r>
          </w:p>
        </w:tc>
      </w:tr>
      <w:tr>
        <w:tc>
          <w:tcPr>
            <w:tcW w:w="1300" w:type="dxa"/>
          </w:tcPr>
          <w:p>
            <w:r>
              <w:t xml:space="preserve">Consider</w:t>
            </w:r>
          </w:p>
        </w:tc>
        <w:tc>
          <w:tcPr>
            <w:tcW w:w="2300" w:type="dxa"/>
          </w:tcPr>
          <w:p>
            <w:r>
              <w:t xml:space="preserve">5 · Don't Estimate</w:t>
            </w:r>
          </w:p>
        </w:tc>
        <w:tc>
          <w:tcPr>
            <w:tcW w:w="5400" w:type="dxa"/>
          </w:tcPr>
          <w:p>
            <w:r>
              <w:t xml:space="preserve">If items are split to finish within your SLE, count them and forecast from throughput instead.</w:t>
            </w:r>
          </w:p>
        </w:tc>
      </w:tr>
    </w:tbl>
    <w:p/>
    <w:p>
      <w:pPr>
        <w:pStyle w:val="Heading1"/>
      </w:pPr>
      <w:r>
        <w:t xml:space="preserve">Choosing a technique</w:t>
      </w:r>
    </w:p>
    <w:p>
      <w:r>
        <w:t xml:space="preserve">Pick the lightest technique that gives you what you need.</w:t>
      </w:r>
    </w:p>
    <w:p>
      <w:pPr>
        <w:pStyle w:val="Heading2"/>
      </w:pPr>
      <w:r>
        <w:t xml:space="preserve">Planning Poker</w:t>
      </w:r>
    </w:p>
    <w:p>
      <w:pPr>
        <w:pStyle w:val="ListBullet"/>
        <w:numPr>
          <w:ilvl w:val="0"/>
          <w:numId w:val="1"/>
        </w:numPr>
      </w:pPr>
      <w:r>
        <w:t xml:space="preserve">A few items in detail</w:t>
      </w:r>
    </w:p>
    <w:p>
      <w:pPr>
        <w:pStyle w:val="ListBullet"/>
        <w:numPr>
          <w:ilvl w:val="0"/>
          <w:numId w:val="1"/>
        </w:numPr>
      </w:pPr>
      <w:r>
        <w:t xml:space="preserve">Surfaces different assumptions</w:t>
      </w:r>
    </w:p>
    <w:p>
      <w:pPr>
        <w:pStyle w:val="Heading2"/>
      </w:pPr>
      <w:r>
        <w:t xml:space="preserve">T-Shirt Sizing</w:t>
      </w:r>
    </w:p>
    <w:p>
      <w:pPr>
        <w:pStyle w:val="ListBullet"/>
        <w:numPr>
          <w:ilvl w:val="0"/>
          <w:numId w:val="1"/>
        </w:numPr>
      </w:pPr>
      <w:r>
        <w:t xml:space="preserve">Rough sizes for roadmaps</w:t>
      </w:r>
    </w:p>
    <w:p>
      <w:pPr>
        <w:pStyle w:val="ListBullet"/>
        <w:numPr>
          <w:ilvl w:val="0"/>
          <w:numId w:val="1"/>
        </w:numPr>
      </w:pPr>
      <w:r>
        <w:t xml:space="preserve">Quick for many items</w:t>
      </w:r>
    </w:p>
    <w:p>
      <w:pPr>
        <w:pStyle w:val="Heading2"/>
      </w:pPr>
      <w:r>
        <w:t xml:space="preserve">Affinity Estimation</w:t>
      </w:r>
    </w:p>
    <w:p>
      <w:pPr>
        <w:pStyle w:val="ListBullet"/>
        <w:numPr>
          <w:ilvl w:val="0"/>
          <w:numId w:val="1"/>
        </w:numPr>
      </w:pPr>
      <w:r>
        <w:t xml:space="preserve">A whole backlog</w:t>
      </w:r>
    </w:p>
    <w:p>
      <w:pPr>
        <w:pStyle w:val="ListBullet"/>
        <w:numPr>
          <w:ilvl w:val="0"/>
          <w:numId w:val="1"/>
        </w:numPr>
      </w:pPr>
      <w:r>
        <w:t xml:space="preserve">Mostly silent, very fast</w:t>
      </w:r>
    </w:p>
    <w:p>
      <w:pPr>
        <w:pStyle w:val="Heading2"/>
      </w:pPr>
      <w:r>
        <w:t xml:space="preserve">Reference Items</w:t>
      </w:r>
    </w:p>
    <w:p>
      <w:pPr>
        <w:pStyle w:val="ListBullet"/>
        <w:numPr>
          <w:ilvl w:val="0"/>
          <w:numId w:val="1"/>
        </w:numPr>
      </w:pPr>
      <w:r>
        <w:t xml:space="preserve">Keep sizes consistent</w:t>
      </w:r>
    </w:p>
    <w:p>
      <w:pPr>
        <w:pStyle w:val="ListBullet"/>
        <w:numPr>
          <w:ilvl w:val="0"/>
          <w:numId w:val="1"/>
        </w:numPr>
      </w:pPr>
      <w:r>
        <w:t xml:space="preserve">Update occasionally</w:t>
      </w:r>
    </w:p>
    <w:p>
      <w:pPr>
        <w:pStyle w:val="Heading2"/>
      </w:pPr>
      <w:r>
        <w:t xml:space="preserve">Don't Estimate</w:t>
      </w:r>
    </w:p>
    <w:p>
      <w:pPr>
        <w:pStyle w:val="ListBullet"/>
        <w:numPr>
          <w:ilvl w:val="0"/>
          <w:numId w:val="1"/>
        </w:numPr>
      </w:pPr>
      <w:r>
        <w:t xml:space="preserve">Right-size and count</w:t>
      </w:r>
    </w:p>
    <w:p>
      <w:pPr>
        <w:pStyle w:val="ListBullet"/>
        <w:numPr>
          <w:ilvl w:val="0"/>
          <w:numId w:val="1"/>
        </w:numPr>
      </w:pPr>
      <w:r>
        <w:t xml:space="preserve">Forecast from throughput</w:t>
      </w:r>
    </w:p>
    <w:p>
      <w:pPr>
        <w:pStyle w:val="Heading1"/>
      </w:pPr>
      <w:r>
        <w:t xml:space="preserve">Facilitation tips</w:t>
      </w:r>
    </w:p>
    <w:p>
      <w:r>
        <w:rPr>
          <w:b/>
        </w:rPr>
        <w:t xml:space="preserve">The conversation is the value. </w:t>
      </w:r>
      <w:r>
        <w:t xml:space="preserve">When estimates differ, the discussion reveals hidden work or risk.</w:t>
      </w:r>
    </w:p>
    <w:p>
      <w:r>
        <w:rPr>
          <w:b/>
        </w:rPr>
        <w:t xml:space="preserve">Relative beats absolute. </w:t>
      </w:r>
      <w:r>
        <w:t xml:space="preserve">People compare sizes far better than they guess hours.</w:t>
      </w:r>
    </w:p>
    <w:p>
      <w:r>
        <w:rPr>
          <w:b/>
        </w:rPr>
        <w:t xml:space="preserve">Don't average. </w:t>
      </w:r>
      <w:r>
        <w:t xml:space="preserve">If votes differ widely, talk and re-vote. Averaging hides the disagreement.</w:t>
      </w:r>
    </w:p>
    <w:p>
      <w:r>
        <w:rPr>
          <w:b/>
        </w:rPr>
        <w:t xml:space="preserve">Split the big ones. </w:t>
      </w:r>
      <w:r>
        <w:t xml:space="preserve">Anything at 13 or above is usually too big. Split it before estimating again.</w:t>
      </w:r>
    </w:p>
    <w:p>
      <w:r>
        <w:rPr>
          <w:b/>
        </w:rPr>
        <w:t xml:space="preserve">Estimates aren't promises. </w:t>
      </w:r>
      <w:r>
        <w:t xml:space="preserve">Use them to forecast, never to judge people or compare teams.</w:t>
      </w:r>
    </w:p>
    <w:p>
      <w:r>
        <w:rPr>
          <w:b/>
        </w:rPr>
        <w:t xml:space="preserve">Try counting. </w:t>
      </w:r>
      <w:r>
        <w:t xml:space="preserve">Many teams find counting small items forecasts as accurately as points, with less effort.</w:t>
      </w:r>
    </w:p>
    <w:p>
      <w:r>
        <w:rPr>
          <w:b/>
        </w:rPr>
        <w:t xml:space="preserve">Common pitfalls: </w:t>
      </w:r>
      <w:r>
        <w:t xml:space="preserve">estimating in hours; managers estimating for the team; averaging votes; treating points as a performance measure; comparing velocity across teams; spending longer estimating than the work would take.</w:t>
      </w:r>
    </w:p>
    <w:p>
      <w:pPr>
        <w:pStyle w:val="Heading1"/>
      </w:pPr>
      <w:r>
        <w:t xml:space="preserve">After the session</w:t>
      </w:r>
    </w:p>
    <w:p>
      <w:r>
        <w:rPr>
          <w:b/>
        </w:rPr>
        <w:t xml:space="preserve">Straight away: </w:t>
      </w:r>
      <w:r>
        <w:t xml:space="preserve">Record sizes in your backlog tool and note any items to split.</w:t>
      </w:r>
    </w:p>
    <w:p>
      <w:r>
        <w:rPr>
          <w:b/>
        </w:rPr>
        <w:t xml:space="preserve">Planning: </w:t>
      </w:r>
      <w:r>
        <w:t xml:space="preserve">Use sizes or counts with recent throughput to plan capacity.</w:t>
      </w:r>
    </w:p>
    <w:p>
      <w:r>
        <w:rPr>
          <w:b/>
        </w:rPr>
        <w:t xml:space="preserve">Each retro: </w:t>
      </w:r>
      <w:r>
        <w:t xml:space="preserve">Compare forecasts with what happened, and adjust.</w:t>
      </w:r>
    </w:p>
    <w:p>
      <w:r>
        <w:rPr>
          <w:b/>
        </w:rPr>
        <w:t xml:space="preserve">Every few months: </w:t>
      </w:r>
      <w:r>
        <w:t xml:space="preserve">Try a few iterations of counting items, and compare the forecast accuracy.</w:t>
      </w:r>
    </w:p>
    <w:p>
      <w:pPr>
        <w:pStyle w:val="Heading1"/>
      </w:pPr>
      <w:r>
        <w:t xml:space="preserve">How it fits the toolkit</w:t>
      </w:r>
    </w:p>
    <w:p>
      <w:r>
        <w:t xml:space="preserve">The lifecycle tools follow the work from start to finish: a </w:t>
      </w:r>
      <w:r>
        <w:t xml:space="preserve">Team Charter</w:t>
      </w:r>
      <w:r>
        <w:t xml:space="preserve"> when a team forms, a </w:t>
      </w:r>
      <w:r>
        <w:t xml:space="preserve">Product Vision Board</w:t>
      </w:r>
      <w:r>
        <w:t xml:space="preserve"> to agree why the product exists, the </w:t>
      </w:r>
      <w:r>
        <w:t xml:space="preserve">Prioritisation Board</w:t>
      </w:r>
      <w:r>
        <w:t xml:space="preserve"> to decide what comes first, then </w:t>
      </w:r>
      <w:r>
        <w:t xml:space="preserve">Sprint Planning</w:t>
      </w:r>
      <w:r>
        <w:t xml:space="preserve"> and </w:t>
      </w:r>
      <w:r>
        <w:t xml:space="preserve">Sprint Review</w:t>
      </w:r>
      <w:r>
        <w:t xml:space="preserve"> each iteration, with a retrospective from the Retro Kit to close the loop. The break-down tools (Epic Canvas, Story Map, Story Splitting, Example Mapping) sit between vision and planning.</w:t>
      </w:r>
    </w:p>
    <w:p>
      <w:pPr>
        <w:pStyle w:val="Small"/>
      </w:pPr>
      <w:r>
        <w:t xml:space="preserve">Boards: https://eparker71.github.io/agile-ways-of-working/estimation-board.html  ·  Online guide: https://eparker71.github.io/agile-ways-of-working/facilitator-guide-estimation.html</w:t>
      </w:r>
    </w:p>
    <w:p>
      <w:pPr>
        <w:pStyle w:val="Small"/>
      </w:pPr>
      <w:r>
        <w:t xml:space="preserve">© 2026 Eric Parker · CC BY 4.0 · eparker71.github.io/agile-ways-of-working · Adapt it freely; please keep the credit and say what you changed.</w:t>
      </w:r>
    </w:p>
    <w:sectPr>
      <w:pgSz w:w="11906" w:h="16838"/>
      <w:pgMar w:top="1134" w:right="1134" w:bottom="1134" w:left="1134" w:header="567" w:footer="567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color w:val="1E293B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pPr>
      <w:spacing w:after="60"/>
    </w:pPr>
    <w:rPr>
      <w:rFonts w:ascii="Georgia" w:hAnsi="Georgia"/>
      <w:sz w:val="48"/>
      <w:color w:val="0C1A2E"/>
    </w:rPr>
  </w:style>
  <w:style w:type="paragraph" w:styleId="Heading1">
    <w:name w:val="heading 1"/>
    <w:basedOn w:val="Normal"/>
    <w:next w:val="Normal"/>
    <w:pPr>
      <w:keepNext/>
      <w:spacing w:before="320" w:after="100"/>
      <w:outlineLvl w:val="0"/>
    </w:pPr>
    <w:rPr>
      <w:rFonts w:ascii="Georgia" w:hAnsi="Georgia"/>
      <w:sz w:val="32"/>
      <w:color w:val="0C1A2E"/>
    </w:rPr>
  </w:style>
  <w:style w:type="paragraph" w:styleId="Heading2">
    <w:name w:val="heading 2"/>
    <w:basedOn w:val="Normal"/>
    <w:next w:val="Normal"/>
    <w:pPr>
      <w:keepNext/>
      <w:spacing w:before="200" w:after="60"/>
      <w:outlineLvl w:val="1"/>
    </w:pPr>
    <w:rPr>
      <w:b/>
      <w:sz w:val="23"/>
      <w:color w:val="9A3412"/>
    </w:rPr>
  </w:style>
  <w:style w:type="paragraph" w:styleId="Quote">
    <w:name w:val="Quote"/>
    <w:basedOn w:val="Normal"/>
    <w:pPr>
      <w:ind w:left="284"/>
      <w:pBdr>
        <w:left w:val="single" w:sz="18" w:space="8" w:color="EB6C36"/>
      </w:pBdr>
    </w:pPr>
    <w:rPr>
      <w:rFonts w:ascii="Georgia" w:hAnsi="Georgia"/>
      <w:i/>
      <w:sz w:val="26"/>
    </w:rPr>
  </w:style>
  <w:style w:type="paragraph" w:styleId="ListBullet">
    <w:name w:val="List Bullet"/>
    <w:basedOn w:val="Normal"/>
    <w:pPr>
      <w:spacing w:after="40"/>
    </w:pPr>
  </w:style>
  <w:style w:type="paragraph" w:styleId="Small">
    <w:name w:val="Small"/>
    <w:basedOn w:val="Normal"/>
    <w:rPr>
      <w:sz w:val="17"/>
      <w:color w:val="64748B"/>
    </w:rPr>
  </w:style>
  <w:style w:type="table" w:styleId="TableGrid">
    <w:name w:val="Table Grid"/>
    <w:tblPr>
      <w:tblBorders>
        <w:top w:val="single" w:sz="4" w:space="0" w:color="CBD5E1"/>
        <w:left w:val="single" w:sz="4" w:space="0" w:color="CBD5E1"/>
        <w:bottom w:val="single" w:sz="4" w:space="0" w:color="CBD5E1"/>
        <w:right w:val="single" w:sz="4" w:space="0" w:color="CBD5E1"/>
        <w:insideH w:val="single" w:sz="4" w:space="0" w:color="CBD5E1"/>
        <w:insideV w:val="single" w:sz="4" w:space="0" w:color="CBD5E1"/>
      </w:tblBorders>
      <w:tblCellMar>
        <w:top w:w="60" w:type="dxa"/>
        <w:left w:w="100" w:type="dxa"/>
        <w:bottom w:w="60" w:type="dxa"/>
        <w:right w:w="100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Estimation Guide</dc:title>
  <dc:creator>Eric Parker</dc:creator>
</cp:coreProperties>
</file>