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t xml:space="preserve">Blameless Incident Review Guide</w:t>
      </w:r>
    </w:p>
    <w:p>
      <w:r>
        <w:rPr>
          <w:i/>
        </w:rPr>
        <w:t xml:space="preserve">How to learn from an incident by understanding how it made sense at the time, and improving the system.</w:t>
      </w:r>
    </w:p>
    <w:p>
      <w:pPr>
        <w:pStyle w:val="Small"/>
      </w:pPr>
      <w:r>
        <w:t xml:space="preserve">Facilitator Run-Sheet · Improve · Blameless Post-Incident Review</w:t>
      </w:r>
    </w:p>
    <w:p>
      <w:pPr>
        <w:pStyle w:val="Quote"/>
      </w:pPr>
      <w:r>
        <w:rPr>
          <w:i/>
        </w:rPr>
        <w:t xml:space="preserve">“Why did it make sense to them at the time?”</w:t>
      </w:r>
    </w:p>
    <w:p>
      <w:r>
        <w:t xml:space="preserve">After an incident, the question “who caused this?” stops learning: people get defensive and hide what really happened. A </w:t>
      </w:r>
      <w:r>
        <w:rPr>
          <w:b/>
        </w:rPr>
        <w:t xml:space="preserve">blameless</w:t>
      </w:r>
      <w:r>
        <w:t xml:space="preserve"> review asks instead how the system made the incident possible. It rebuilds the </w:t>
      </w:r>
      <w:r>
        <w:rPr>
          <w:b/>
        </w:rPr>
        <w:t xml:space="preserve">timeline</w:t>
      </w:r>
      <w:r>
        <w:t xml:space="preserve"> with what people knew at each point, looks for several </w:t>
      </w:r>
      <w:r>
        <w:rPr>
          <w:b/>
        </w:rPr>
        <w:t xml:space="preserve">contributing factors</w:t>
      </w:r>
      <w:r>
        <w:t xml:space="preserve"> rather than one root cause, notes what helped and where you got lucky, and ends with actions to prevent, detect or recover sooner. The approach is widely used in software reliability engineering, including Google's SRE practice.</w:t>
      </w:r>
    </w:p>
    <w:tbl>
      <w:tblPr>
        <w:tblStyle w:val="TableGrid"/>
        <w:tblW w:w="0" w:type="auto"/>
      </w:tblPr>
      <w:tblGrid>
        <w:gridCol w:w="2250"/>
        <w:gridCol w:w="2250"/>
        <w:gridCol w:w="2250"/>
        <w:gridCol w:w="2250"/>
      </w:tblGrid>
      <w:tr>
        <w:trPr>
          <w:tblHeader/>
        </w:trPr>
        <w:tc>
          <w:tcPr>
            <w:tcW w:w="2250" w:type="dxa"/>
            <w:shd w:val="clear" w:color="auto" w:fill="EEF2F6"/>
          </w:tcPr>
          <w:p>
            <w:r>
              <w:rPr>
                <w:b/>
              </w:rPr>
              <w:t xml:space="preserve">Duration</w:t>
            </w:r>
          </w:p>
        </w:tc>
        <w:tc>
          <w:tcPr>
            <w:tcW w:w="2250" w:type="dxa"/>
            <w:shd w:val="clear" w:color="auto" w:fill="EEF2F6"/>
          </w:tcPr>
          <w:p>
            <w:r>
              <w:rPr>
                <w:b/>
              </w:rPr>
              <w:t xml:space="preserve">Group</w:t>
            </w:r>
          </w:p>
        </w:tc>
        <w:tc>
          <w:tcPr>
            <w:tcW w:w="2250" w:type="dxa"/>
            <w:shd w:val="clear" w:color="auto" w:fill="EEF2F6"/>
          </w:tcPr>
          <w:p>
            <w:r>
              <w:rPr>
                <w:b/>
              </w:rPr>
              <w:t xml:space="preserve">Use when</w:t>
            </w:r>
          </w:p>
        </w:tc>
        <w:tc>
          <w:tcPr>
            <w:tcW w:w="2250" w:type="dxa"/>
            <w:shd w:val="clear" w:color="auto" w:fill="EEF2F6"/>
          </w:tcPr>
          <w:p>
            <w:r>
              <w:rPr>
                <w:b/>
              </w:rPr>
              <w:t xml:space="preserve">Output</w:t>
            </w:r>
          </w:p>
        </w:tc>
      </w:tr>
      <w:tr>
        <w:tc>
          <w:tcPr>
            <w:tcW w:w="2250" w:type="dxa"/>
          </w:tcPr>
          <w:p>
            <w:r>
              <w:t xml:space="preserve">60–90 min</w:t>
            </w:r>
          </w:p>
        </w:tc>
        <w:tc>
          <w:tcPr>
            <w:tcW w:w="2250" w:type="dxa"/>
          </w:tcPr>
          <w:p>
            <w:r>
              <w:t xml:space="preserve">Everyone involved,</w:t>
            </w:r>
            <w:r>
              <w:br/>
            </w:r>
            <w:r>
              <w:t xml:space="preserve">plus a neutral facilitator</w:t>
            </w:r>
          </w:p>
        </w:tc>
        <w:tc>
          <w:tcPr>
            <w:tcW w:w="2250" w:type="dxa"/>
          </w:tcPr>
          <w:p>
            <w:r>
              <w:t xml:space="preserve">Within a week of any</w:t>
            </w:r>
            <w:r>
              <w:br/>
            </w:r>
            <w:r>
              <w:t xml:space="preserve">significant incident</w:t>
            </w:r>
          </w:p>
        </w:tc>
        <w:tc>
          <w:tcPr>
            <w:tcW w:w="2250" w:type="dxa"/>
          </w:tcPr>
          <w:p>
            <w:r>
              <w:t xml:space="preserve">Shared learning</w:t>
            </w:r>
            <w:r>
              <w:br/>
            </w:r>
            <w:r>
              <w:t xml:space="preserve">&amp; actions</w:t>
            </w:r>
          </w:p>
        </w:tc>
      </w:tr>
    </w:tbl>
    <w:p/>
    <w:p>
      <w:pPr>
        <w:pStyle w:val="Heading1"/>
      </w:pPr>
      <w:r>
        <w:t xml:space="preserve">Before the session</w:t>
      </w:r>
    </w:p>
    <w:p>
      <w:pPr>
        <w:pStyle w:val="ListBullet"/>
        <w:numPr>
          <w:ilvl w:val="0"/>
          <w:numId w:val="1"/>
        </w:numPr>
      </w:pPr>
      <w:r>
        <w:t xml:space="preserve">Print the board at A3, or load the SVG as a digital background</w:t>
      </w:r>
    </w:p>
    <w:p>
      <w:pPr>
        <w:pStyle w:val="ListBullet"/>
        <w:numPr>
          <w:ilvl w:val="0"/>
          <w:numId w:val="1"/>
        </w:numPr>
      </w:pPr>
      <w:r>
        <w:t xml:space="preserve">Collect facts: logs, alerts, chat messages, the timeline from the incident channel</w:t>
      </w:r>
    </w:p>
    <w:p>
      <w:pPr>
        <w:pStyle w:val="ListBullet"/>
        <w:numPr>
          <w:ilvl w:val="0"/>
          <w:numId w:val="1"/>
        </w:numPr>
      </w:pPr>
      <w:r>
        <w:t xml:space="preserve">Choose a facilitator who wasn't directly involved</w:t>
      </w:r>
    </w:p>
    <w:p>
      <w:pPr>
        <w:pStyle w:val="ListBullet"/>
        <w:numPr>
          <w:ilvl w:val="0"/>
          <w:numId w:val="1"/>
        </w:numPr>
      </w:pPr>
      <w:r>
        <w:t xml:space="preserve">Invite everyone who responded, and anyone affected who can add context</w:t>
      </w:r>
    </w:p>
    <w:p>
      <w:pPr>
        <w:pStyle w:val="ListBullet"/>
        <w:numPr>
          <w:ilvl w:val="0"/>
          <w:numId w:val="1"/>
        </w:numPr>
      </w:pPr>
      <w:r>
        <w:t xml:space="preserve">Remind people in the invitation that the review is blameless</w:t>
      </w:r>
    </w:p>
    <w:p>
      <w:pPr>
        <w:pStyle w:val="Heading1"/>
      </w:pPr>
      <w:r>
        <w:t xml:space="preserve">Agenda &amp; run-sheet</w:t>
      </w:r>
    </w:p>
    <w:tbl>
      <w:tblPr>
        <w:tblStyle w:val="TableGrid"/>
        <w:tblW w:w="0" w:type="auto"/>
      </w:tblPr>
      <w:tblGrid>
        <w:gridCol w:w="1300"/>
        <w:gridCol w:w="2300"/>
        <w:gridCol w:w="5400"/>
      </w:tblGrid>
      <w:tr>
        <w:trPr>
          <w:tblHeader/>
        </w:trPr>
        <w:tc>
          <w:tcPr>
            <w:tcW w:w="1300" w:type="dxa"/>
            <w:shd w:val="clear" w:color="auto" w:fill="EEF2F6"/>
          </w:tcPr>
          <w:p>
            <w:r>
              <w:rPr>
                <w:b/>
              </w:rPr>
              <w:t xml:space="preserve">Time</w:t>
            </w:r>
          </w:p>
        </w:tc>
        <w:tc>
          <w:tcPr>
            <w:tcW w:w="2300" w:type="dxa"/>
            <w:shd w:val="clear" w:color="auto" w:fill="EEF2F6"/>
          </w:tcPr>
          <w:p>
            <w:r>
              <w:rPr>
                <w:b/>
              </w:rPr>
              <w:t xml:space="preserve">Section</w:t>
            </w:r>
          </w:p>
        </w:tc>
        <w:tc>
          <w:tcPr>
            <w:tcW w:w="5400" w:type="dxa"/>
            <w:shd w:val="clear" w:color="auto" w:fill="EEF2F6"/>
          </w:tcPr>
          <w:p>
            <w:r>
              <w:rPr>
                <w:b/>
              </w:rPr>
              <w:t xml:space="preserve">Facilitator notes</w:t>
            </w:r>
          </w:p>
        </w:tc>
      </w:tr>
      <w:tr>
        <w:tc>
          <w:tcPr>
            <w:tcW w:w="1300" w:type="dxa"/>
          </w:tcPr>
          <w:p>
            <w:r>
              <w:t xml:space="preserve">0–5</w:t>
            </w:r>
          </w:p>
        </w:tc>
        <w:tc>
          <w:tcPr>
            <w:tcW w:w="2300" w:type="dxa"/>
          </w:tcPr>
          <w:p>
            <w:r>
              <w:t xml:space="preserve">2 · Ground Rules</w:t>
            </w:r>
          </w:p>
        </w:tc>
        <w:tc>
          <w:tcPr>
            <w:tcW w:w="5400" w:type="dxa"/>
          </w:tcPr>
          <w:p>
            <w:r>
              <w:t xml:space="preserve">Read the rules aloud. Make it clear that no one is being judged.</w:t>
            </w:r>
          </w:p>
        </w:tc>
      </w:tr>
      <w:tr>
        <w:tc>
          <w:tcPr>
            <w:tcW w:w="1300" w:type="dxa"/>
          </w:tcPr>
          <w:p>
            <w:r>
              <w:t xml:space="preserve">5–15</w:t>
            </w:r>
          </w:p>
        </w:tc>
        <w:tc>
          <w:tcPr>
            <w:tcW w:w="2300" w:type="dxa"/>
          </w:tcPr>
          <w:p>
            <w:r>
              <w:t xml:space="preserve">1 · Summary</w:t>
            </w:r>
          </w:p>
        </w:tc>
        <w:tc>
          <w:tcPr>
            <w:tcW w:w="5400" w:type="dxa"/>
          </w:tcPr>
          <w:p>
            <w:r>
              <w:t xml:space="preserve">Agree the facts: what happened, impact, how it was detected, duration and severity.</w:t>
            </w:r>
          </w:p>
        </w:tc>
      </w:tr>
      <w:tr>
        <w:tc>
          <w:tcPr>
            <w:tcW w:w="1300" w:type="dxa"/>
          </w:tcPr>
          <w:p>
            <w:r>
              <w:t xml:space="preserve">15–45</w:t>
            </w:r>
          </w:p>
        </w:tc>
        <w:tc>
          <w:tcPr>
            <w:tcW w:w="2300" w:type="dxa"/>
          </w:tcPr>
          <w:p>
            <w:r>
              <w:t xml:space="preserve">3 · Timeline</w:t>
            </w:r>
          </w:p>
        </w:tc>
        <w:tc>
          <w:tcPr>
            <w:tcW w:w="5400" w:type="dxa"/>
          </w:tcPr>
          <w:p>
            <w:r>
              <w:t xml:space="preserve">Rebuild events in order. For each, ask what people knew then and why their action made sense.</w:t>
            </w:r>
          </w:p>
        </w:tc>
      </w:tr>
      <w:tr>
        <w:tc>
          <w:tcPr>
            <w:tcW w:w="1300" w:type="dxa"/>
          </w:tcPr>
          <w:p>
            <w:r>
              <w:t xml:space="preserve">45–65</w:t>
            </w:r>
          </w:p>
        </w:tc>
        <w:tc>
          <w:tcPr>
            <w:tcW w:w="2300" w:type="dxa"/>
          </w:tcPr>
          <w:p>
            <w:r>
              <w:t xml:space="preserve">4 · Contributing Factors</w:t>
            </w:r>
          </w:p>
        </w:tc>
        <w:tc>
          <w:tcPr>
            <w:tcW w:w="5400" w:type="dxa"/>
          </w:tcPr>
          <w:p>
            <w:r>
              <w:t xml:space="preserve">Add stickies under each category. Look for several factors, not one cause.</w:t>
            </w:r>
          </w:p>
        </w:tc>
      </w:tr>
      <w:tr>
        <w:tc>
          <w:tcPr>
            <w:tcW w:w="1300" w:type="dxa"/>
          </w:tcPr>
          <w:p>
            <w:r>
              <w:t xml:space="preserve">65–75</w:t>
            </w:r>
          </w:p>
        </w:tc>
        <w:tc>
          <w:tcPr>
            <w:tcW w:w="2300" w:type="dxa"/>
          </w:tcPr>
          <w:p>
            <w:r>
              <w:t xml:space="preserve">5 · Helped · 6 · Lucky</w:t>
            </w:r>
          </w:p>
        </w:tc>
        <w:tc>
          <w:tcPr>
            <w:tcW w:w="5400" w:type="dxa"/>
          </w:tcPr>
          <w:p>
            <w:r>
              <w:t xml:space="preserve">What reduced the impact? Where did luck, not design, save you?</w:t>
            </w:r>
          </w:p>
        </w:tc>
      </w:tr>
      <w:tr>
        <w:tc>
          <w:tcPr>
            <w:tcW w:w="1300" w:type="dxa"/>
          </w:tcPr>
          <w:p>
            <w:r>
              <w:t xml:space="preserve">75–90</w:t>
            </w:r>
          </w:p>
        </w:tc>
        <w:tc>
          <w:tcPr>
            <w:tcW w:w="2300" w:type="dxa"/>
          </w:tcPr>
          <w:p>
            <w:r>
              <w:t xml:space="preserve">7 · Actions</w:t>
            </w:r>
          </w:p>
        </w:tc>
        <w:tc>
          <w:tcPr>
            <w:tcW w:w="5400" w:type="dxa"/>
          </w:tcPr>
          <w:p>
            <w:r>
              <w:t xml:space="preserve">Agree a few actions to prevent, detect sooner or recover faster, each with an owner.</w:t>
            </w:r>
          </w:p>
        </w:tc>
      </w:tr>
    </w:tbl>
    <w:p/>
    <w:p>
      <w:pPr>
        <w:pStyle w:val="Heading1"/>
      </w:pPr>
      <w:r>
        <w:t xml:space="preserve">Making each part strong</w:t>
      </w:r>
    </w:p>
    <w:p>
      <w:r>
        <w:t xml:space="preserve">Quality checks for the review.</w:t>
      </w:r>
    </w:p>
    <w:p>
      <w:pPr>
        <w:pStyle w:val="Heading2"/>
      </w:pPr>
      <w:r>
        <w:t xml:space="preserve">2 · Ground Rules</w:t>
      </w:r>
    </w:p>
    <w:p>
      <w:pPr>
        <w:pStyle w:val="ListBullet"/>
        <w:numPr>
          <w:ilvl w:val="0"/>
          <w:numId w:val="1"/>
        </w:numPr>
      </w:pPr>
      <w:r>
        <w:t xml:space="preserve">Read aloud</w:t>
      </w:r>
    </w:p>
    <w:p>
      <w:pPr>
        <w:pStyle w:val="ListBullet"/>
        <w:numPr>
          <w:ilvl w:val="0"/>
          <w:numId w:val="1"/>
        </w:numPr>
      </w:pPr>
      <w:r>
        <w:t xml:space="preserve">Facilitator steps in if blame appears</w:t>
      </w:r>
    </w:p>
    <w:p>
      <w:pPr>
        <w:pStyle w:val="Heading2"/>
      </w:pPr>
      <w:r>
        <w:t xml:space="preserve">3 · Timeline</w:t>
      </w:r>
    </w:p>
    <w:p>
      <w:pPr>
        <w:pStyle w:val="ListBullet"/>
        <w:numPr>
          <w:ilvl w:val="0"/>
          <w:numId w:val="1"/>
        </w:numPr>
      </w:pPr>
      <w:r>
        <w:t xml:space="preserve">What people knew then</w:t>
      </w:r>
    </w:p>
    <w:p>
      <w:pPr>
        <w:pStyle w:val="ListBullet"/>
        <w:numPr>
          <w:ilvl w:val="0"/>
          <w:numId w:val="1"/>
        </w:numPr>
      </w:pPr>
      <w:r>
        <w:t xml:space="preserve">Not hindsight</w:t>
      </w:r>
    </w:p>
    <w:p>
      <w:pPr>
        <w:pStyle w:val="Heading2"/>
      </w:pPr>
      <w:r>
        <w:t xml:space="preserve">4 · Contributing Factors</w:t>
      </w:r>
    </w:p>
    <w:p>
      <w:pPr>
        <w:pStyle w:val="ListBullet"/>
        <w:numPr>
          <w:ilvl w:val="0"/>
          <w:numId w:val="1"/>
        </w:numPr>
      </w:pPr>
      <w:r>
        <w:t xml:space="preserve">Several categories</w:t>
      </w:r>
    </w:p>
    <w:p>
      <w:pPr>
        <w:pStyle w:val="ListBullet"/>
        <w:numPr>
          <w:ilvl w:val="0"/>
          <w:numId w:val="1"/>
        </w:numPr>
      </w:pPr>
      <w:r>
        <w:t xml:space="preserve">Systems, not individuals</w:t>
      </w:r>
    </w:p>
    <w:p>
      <w:pPr>
        <w:pStyle w:val="Heading2"/>
      </w:pPr>
      <w:r>
        <w:t xml:space="preserve">5 · What Helped</w:t>
      </w:r>
    </w:p>
    <w:p>
      <w:pPr>
        <w:pStyle w:val="ListBullet"/>
        <w:numPr>
          <w:ilvl w:val="0"/>
          <w:numId w:val="1"/>
        </w:numPr>
      </w:pPr>
      <w:r>
        <w:t xml:space="preserve">Things to keep and strengthen</w:t>
      </w:r>
    </w:p>
    <w:p>
      <w:pPr>
        <w:pStyle w:val="Heading2"/>
      </w:pPr>
      <w:r>
        <w:t xml:space="preserve">6 · Where We Got Lucky</w:t>
      </w:r>
    </w:p>
    <w:p>
      <w:pPr>
        <w:pStyle w:val="ListBullet"/>
        <w:numPr>
          <w:ilvl w:val="0"/>
          <w:numId w:val="1"/>
        </w:numPr>
      </w:pPr>
      <w:r>
        <w:t xml:space="preserve">Hidden risks</w:t>
      </w:r>
    </w:p>
    <w:p>
      <w:pPr>
        <w:pStyle w:val="ListBullet"/>
        <w:numPr>
          <w:ilvl w:val="0"/>
          <w:numId w:val="1"/>
        </w:numPr>
      </w:pPr>
      <w:r>
        <w:t xml:space="preserve">Often the most useful insight</w:t>
      </w:r>
    </w:p>
    <w:p>
      <w:pPr>
        <w:pStyle w:val="Heading2"/>
      </w:pPr>
      <w:r>
        <w:t xml:space="preserve">7 · Follow-up Actions</w:t>
      </w:r>
    </w:p>
    <w:p>
      <w:pPr>
        <w:pStyle w:val="ListBullet"/>
        <w:numPr>
          <w:ilvl w:val="0"/>
          <w:numId w:val="1"/>
        </w:numPr>
      </w:pPr>
      <w:r>
        <w:t xml:space="preserve">Few and specific</w:t>
      </w:r>
    </w:p>
    <w:p>
      <w:pPr>
        <w:pStyle w:val="ListBullet"/>
        <w:numPr>
          <w:ilvl w:val="0"/>
          <w:numId w:val="1"/>
        </w:numPr>
      </w:pPr>
      <w:r>
        <w:t xml:space="preserve">Owned and dated</w:t>
      </w:r>
    </w:p>
    <w:p>
      <w:pPr>
        <w:pStyle w:val="Heading1"/>
      </w:pPr>
      <w:r>
        <w:t xml:space="preserve">Facilitation tips</w:t>
      </w:r>
    </w:p>
    <w:p>
      <w:r>
        <w:rPr>
          <w:b/>
        </w:rPr>
        <w:t xml:space="preserve">Ask how, not who. </w:t>
      </w:r>
      <w:r>
        <w:t xml:space="preserve">“How did the change reach production?” invites learning. “Who approved it?” invites blame.</w:t>
      </w:r>
    </w:p>
    <w:p>
      <w:r>
        <w:rPr>
          <w:b/>
        </w:rPr>
        <w:t xml:space="preserve">Avoid hindsight. </w:t>
      </w:r>
      <w:r>
        <w:t xml:space="preserve">It's obvious now. Ask what people could see at the time.</w:t>
      </w:r>
    </w:p>
    <w:p>
      <w:r>
        <w:rPr>
          <w:b/>
        </w:rPr>
        <w:t xml:space="preserve">Several factors. </w:t>
      </w:r>
      <w:r>
        <w:t xml:space="preserve">Incidents usually need several things to go wrong at once. Look for them all.</w:t>
      </w:r>
    </w:p>
    <w:p>
      <w:r>
        <w:rPr>
          <w:b/>
        </w:rPr>
        <w:t xml:space="preserve">Count the luck. </w:t>
      </w:r>
      <w:r>
        <w:t xml:space="preserve">Near misses and lucky breaks show risks that will strike again.</w:t>
      </w:r>
    </w:p>
    <w:p>
      <w:r>
        <w:rPr>
          <w:b/>
        </w:rPr>
        <w:t xml:space="preserve">Fewer, better actions. </w:t>
      </w:r>
      <w:r>
        <w:t xml:space="preserve">Three meaningful actions that happen beat ten that don't.</w:t>
      </w:r>
    </w:p>
    <w:p>
      <w:r>
        <w:rPr>
          <w:b/>
        </w:rPr>
        <w:t xml:space="preserve">Share widely. </w:t>
      </w:r>
      <w:r>
        <w:t xml:space="preserve">Publish the review so other teams learn too.</w:t>
      </w:r>
    </w:p>
    <w:p>
      <w:r>
        <w:rPr>
          <w:b/>
        </w:rPr>
        <w:t xml:space="preserve">Common pitfalls: </w:t>
      </w:r>
      <w:r>
        <w:t xml:space="preserve">naming someone as the cause; stopping at “human error”; one root cause for a complex incident; too many actions; actions with no owner; reviews only for big incidents, not near misses.</w:t>
      </w:r>
    </w:p>
    <w:p>
      <w:pPr>
        <w:pStyle w:val="Heading1"/>
      </w:pPr>
      <w:r>
        <w:t xml:space="preserve">After the session</w:t>
      </w:r>
    </w:p>
    <w:p>
      <w:r>
        <w:rPr>
          <w:b/>
        </w:rPr>
        <w:t xml:space="preserve">Within a day: </w:t>
      </w:r>
      <w:r>
        <w:t xml:space="preserve">Write up the review and share it openly.</w:t>
      </w:r>
    </w:p>
    <w:p>
      <w:r>
        <w:rPr>
          <w:b/>
        </w:rPr>
        <w:t xml:space="preserve">This iteration: </w:t>
      </w:r>
      <w:r>
        <w:t xml:space="preserve">Plan the actions into the backlog.</w:t>
      </w:r>
    </w:p>
    <w:p>
      <w:r>
        <w:rPr>
          <w:b/>
        </w:rPr>
        <w:t xml:space="preserve">Next month: </w:t>
      </w:r>
      <w:r>
        <w:t xml:space="preserve">Check the actions were done, and whether they helped.</w:t>
      </w:r>
    </w:p>
    <w:p>
      <w:r>
        <w:rPr>
          <w:b/>
        </w:rPr>
        <w:t xml:space="preserve">Over time: </w:t>
      </w:r>
      <w:r>
        <w:t xml:space="preserve">Look across reviews for repeating factors, and bring them to the Root Cause board.</w:t>
      </w:r>
    </w:p>
    <w:p>
      <w:pPr>
        <w:pStyle w:val="Heading1"/>
      </w:pPr>
      <w:r>
        <w:t xml:space="preserve">How it fits the toolkit</w:t>
      </w:r>
    </w:p>
    <w:p>
      <w:r>
        <w:t xml:space="preserve">Incident reviews connect to the improvement tools: take repeating factors to </w:t>
      </w:r>
      <w:r>
        <w:t xml:space="preserve">Root Cause Analysis</w:t>
      </w:r>
      <w:r>
        <w:t xml:space="preserve">, track recovery time in </w:t>
      </w:r>
      <w:r>
        <w:t xml:space="preserve">Delivery Metrics</w:t>
      </w:r>
      <w:r>
        <w:t xml:space="preserve">, and use the </w:t>
      </w:r>
      <w:r>
        <w:t xml:space="preserve">Psychological Safety Check</w:t>
      </w:r>
      <w:r>
        <w:t xml:space="preserve"> if people are reluctant to speak openly.</w:t>
      </w:r>
    </w:p>
    <w:p>
      <w:pPr>
        <w:pStyle w:val="Small"/>
      </w:pPr>
      <w:r>
        <w:t xml:space="preserve">Boards: https://eparker71.github.io/agile-ways-of-working/incident-review-board.html  ·  Online guide: https://eparker71.github.io/agile-ways-of-working/facilitator-guide-incident-review.html</w:t>
      </w:r>
    </w:p>
    <w:p>
      <w:pPr>
        <w:pStyle w:val="Small"/>
      </w:pPr>
      <w:r>
        <w:t xml:space="preserve">© 2026 Eric Parker · CC BY 4.0 · eparker71.github.io/agile-ways-of-working · Adapt it freely; please keep the credit and say what you changed.</w:t>
      </w:r>
    </w:p>
    <w:sectPr>
      <w:pgSz w:w="11906" w:h="16838"/>
      <w:pgMar w:top="1134" w:right="1134" w:bottom="1134" w:left="1134" w:header="567" w:footer="567" w:gutter="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lvl>
  </w:abstractNum>
  <w:num w:numId="1">
    <w:abstractNumId w:val="0"/>
  </w:num>
</w:numbering>
</file>

<file path=word/styles.xml><?xml version="1.0" encoding="utf-8"?>
<w:styles xmlns:w="http://schemas.openxmlformats.org/wordprocessingml/2006/main">
  <w:docDefaults>
    <w:rPrDefault>
      <w:rPr>
        <w:rFonts w:ascii="Calibri" w:hAnsi="Calibri" w:cs="Calibri"/>
        <w:sz w:val="21"/>
        <w:color w:val="1E293B"/>
      </w:rPr>
    </w:rPrDefault>
    <w:pPrDefault>
      <w:pPr>
        <w:spacing w:after="120" w:line="276" w:lineRule="auto"/>
      </w:pPr>
    </w:pPrDefault>
  </w:docDefaults>
  <w:style w:type="paragraph" w:default="1" w:styleId="Normal">
    <w:name w:val="Normal"/>
  </w:style>
  <w:style w:type="paragraph" w:styleId="Title">
    <w:name w:val="Title"/>
    <w:basedOn w:val="Normal"/>
    <w:next w:val="Normal"/>
    <w:pPr>
      <w:spacing w:after="60"/>
    </w:pPr>
    <w:rPr>
      <w:rFonts w:ascii="Georgia" w:hAnsi="Georgia"/>
      <w:sz w:val="48"/>
      <w:color w:val="0C1A2E"/>
    </w:rPr>
  </w:style>
  <w:style w:type="paragraph" w:styleId="Heading1">
    <w:name w:val="heading 1"/>
    <w:basedOn w:val="Normal"/>
    <w:next w:val="Normal"/>
    <w:pPr>
      <w:keepNext/>
      <w:spacing w:before="320" w:after="100"/>
      <w:outlineLvl w:val="0"/>
    </w:pPr>
    <w:rPr>
      <w:rFonts w:ascii="Georgia" w:hAnsi="Georgia"/>
      <w:sz w:val="32"/>
      <w:color w:val="0C1A2E"/>
    </w:rPr>
  </w:style>
  <w:style w:type="paragraph" w:styleId="Heading2">
    <w:name w:val="heading 2"/>
    <w:basedOn w:val="Normal"/>
    <w:next w:val="Normal"/>
    <w:pPr>
      <w:keepNext/>
      <w:spacing w:before="200" w:after="60"/>
      <w:outlineLvl w:val="1"/>
    </w:pPr>
    <w:rPr>
      <w:b/>
      <w:sz w:val="23"/>
      <w:color w:val="9A3412"/>
    </w:rPr>
  </w:style>
  <w:style w:type="paragraph" w:styleId="Quote">
    <w:name w:val="Quote"/>
    <w:basedOn w:val="Normal"/>
    <w:pPr>
      <w:ind w:left="284"/>
      <w:pBdr>
        <w:left w:val="single" w:sz="18" w:space="8" w:color="EB6C36"/>
      </w:pBdr>
    </w:pPr>
    <w:rPr>
      <w:rFonts w:ascii="Georgia" w:hAnsi="Georgia"/>
      <w:i/>
      <w:sz w:val="26"/>
    </w:rPr>
  </w:style>
  <w:style w:type="paragraph" w:styleId="ListBullet">
    <w:name w:val="List Bullet"/>
    <w:basedOn w:val="Normal"/>
    <w:pPr>
      <w:spacing w:after="40"/>
    </w:pPr>
  </w:style>
  <w:style w:type="paragraph" w:styleId="Small">
    <w:name w:val="Small"/>
    <w:basedOn w:val="Normal"/>
    <w:rPr>
      <w:sz w:val="17"/>
      <w:color w:val="64748B"/>
    </w:rPr>
  </w:style>
  <w:style w:type="table" w:styleId="TableGrid">
    <w:name w:val="Table Grid"/>
    <w:tblP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00" w:type="dxa"/>
        <w:bottom w:w="60" w:type="dxa"/>
        <w:right w:w="10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core.xml><?xml version="1.0" encoding="utf-8"?>
<cp:coreProperties xmlns:cp="http://schemas.openxmlformats.org/package/2006/metadata/core-properties" xmlns:dc="http://purl.org/dc/elements/1.1/" xmlns:dcterms="http://purl.org/dc/terms/" xmlns:xsi="http://www.w3.org/2001/XMLSchema-instance">
  <dc:title>Blameless Incident Review Guide</dc:title>
  <dc:creator>Eric Parker</dc:creator>
</cp:coreProperties>
</file>