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Persona &amp; Journey Map Guide</w:t>
      </w:r>
    </w:p>
    <w:p>
      <w:r>
        <w:rPr>
          <w:i/>
        </w:rPr>
        <w:t xml:space="preserve">How to describe a real type of user and map their journey to find the moments that matter most.</w:t>
      </w:r>
    </w:p>
    <w:p>
      <w:pPr>
        <w:pStyle w:val="Small"/>
      </w:pPr>
      <w:r>
        <w:t xml:space="preserve">Facilitator Run-Sheet · Envision &amp; Plan · Personas · Customer Journey Mapping</w:t>
      </w:r>
    </w:p>
    <w:p>
      <w:pPr>
        <w:pStyle w:val="Quote"/>
      </w:pPr>
      <w:r>
        <w:rPr>
          <w:i/>
        </w:rPr>
        <w:t xml:space="preserve">“What is this person really trying to get done?”</w:t>
      </w:r>
    </w:p>
    <w:p>
      <w:r>
        <w:t xml:space="preserve">A </w:t>
      </w:r>
      <w:r>
        <w:rPr>
          <w:b/>
        </w:rPr>
        <w:t xml:space="preserve">persona</w:t>
      </w:r>
      <w:r>
        <w:t xml:space="preserve"> is a short, evidence-based description of a type of user: their context, goals and frustrations. A </w:t>
      </w:r>
      <w:r>
        <w:rPr>
          <w:b/>
        </w:rPr>
        <w:t xml:space="preserve">customer journey map</w:t>
      </w:r>
      <w:r>
        <w:t xml:space="preserve"> follows that person through a scenario in </w:t>
      </w:r>
      <w:r>
        <w:rPr>
          <w:b/>
        </w:rPr>
        <w:t xml:space="preserve">stages</w:t>
      </w:r>
      <w:r>
        <w:t xml:space="preserve">, showing what they do, think and feel, where it goes wrong, and where you could help. The board also frames the journey as a </w:t>
      </w:r>
      <w:r>
        <w:rPr>
          <w:b/>
        </w:rPr>
        <w:t xml:space="preserve">job to be done</w:t>
      </w:r>
      <w:r>
        <w:t xml:space="preserve"> (“When…, I want to…, so I can…”), an idea from Clayton Christensen and others. Opportunities found here feed the Opportunity Solution Tree.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Duration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Use when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250" w:type="dxa"/>
          </w:tcPr>
          <w:p>
            <w:r>
              <w:t xml:space="preserve">90–120 min</w:t>
            </w:r>
          </w:p>
        </w:tc>
        <w:tc>
          <w:tcPr>
            <w:tcW w:w="2250" w:type="dxa"/>
          </w:tcPr>
          <w:p>
            <w:r>
              <w:t xml:space="preserve">PO, designer,</w:t>
            </w:r>
            <w:r>
              <w:br/>
            </w:r>
            <w:r>
              <w:t xml:space="preserve">team, support staff</w:t>
            </w:r>
          </w:p>
        </w:tc>
        <w:tc>
          <w:tcPr>
            <w:tcW w:w="2250" w:type="dxa"/>
          </w:tcPr>
          <w:p>
            <w:r>
              <w:t xml:space="preserve">Starting discovery, or</w:t>
            </w:r>
            <w:r>
              <w:br/>
            </w:r>
            <w:r>
              <w:t xml:space="preserve">users are vague</w:t>
            </w:r>
          </w:p>
        </w:tc>
        <w:tc>
          <w:tcPr>
            <w:tcW w:w="2250" w:type="dxa"/>
          </w:tcPr>
          <w:p>
            <w:r>
              <w:t xml:space="preserve">A persona, a journey</w:t>
            </w:r>
            <w:r>
              <w:br/>
            </w:r>
            <w:r>
              <w:t xml:space="preserve">&amp; opportunities</w:t>
            </w:r>
          </w:p>
        </w:tc>
      </w:tr>
    </w:tbl>
    <w:p/>
    <w:p>
      <w:pPr>
        <w:pStyle w:val="Heading1"/>
      </w:pPr>
      <w:r>
        <w:t xml:space="preserve">Before the session</w:t>
      </w:r>
    </w:p>
    <w:p>
      <w:pPr>
        <w:pStyle w:val="ListBullet"/>
        <w:numPr>
          <w:ilvl w:val="0"/>
          <w:numId w:val="1"/>
        </w:numPr>
      </w:pPr>
      <w:r>
        <w:t xml:space="preserve">Print the board at A3 or larger, or load the SVG as a digital background</w:t>
      </w:r>
    </w:p>
    <w:p>
      <w:pPr>
        <w:pStyle w:val="ListBullet"/>
        <w:numPr>
          <w:ilvl w:val="0"/>
          <w:numId w:val="1"/>
        </w:numPr>
      </w:pPr>
      <w:r>
        <w:t xml:space="preserve">Bring real evidence: interviews, support tickets, analytics, sales notes</w:t>
      </w:r>
    </w:p>
    <w:p>
      <w:pPr>
        <w:pStyle w:val="ListBullet"/>
        <w:numPr>
          <w:ilvl w:val="0"/>
          <w:numId w:val="1"/>
        </w:numPr>
      </w:pPr>
      <w:r>
        <w:t xml:space="preserve">Agree which user type and which scenario to map first</w:t>
      </w:r>
    </w:p>
    <w:p>
      <w:pPr>
        <w:pStyle w:val="ListBullet"/>
        <w:numPr>
          <w:ilvl w:val="0"/>
          <w:numId w:val="1"/>
        </w:numPr>
      </w:pPr>
      <w:r>
        <w:t xml:space="preserve">Invite people who talk to users: support, sales, customer success</w:t>
      </w:r>
    </w:p>
    <w:p>
      <w:pPr>
        <w:pStyle w:val="ListBullet"/>
        <w:numPr>
          <w:ilvl w:val="0"/>
          <w:numId w:val="1"/>
        </w:numPr>
      </w:pPr>
      <w:r>
        <w:t xml:space="preserve">Yellow, blue, pink and green stickies, and markers</w:t>
      </w:r>
    </w:p>
    <w:p>
      <w:pPr>
        <w:pStyle w:val="Heading1"/>
      </w:pPr>
      <w:r>
        <w:t xml:space="preserve">Agenda &amp; run-sheet</w:t>
      </w:r>
    </w:p>
    <w:tbl>
      <w:tblPr>
        <w:tblStyle w:val="TableGrid"/>
        <w:tblW w:w="0" w:type="auto"/>
      </w:tblPr>
      <w:tblGrid>
        <w:gridCol w:w="1300"/>
        <w:gridCol w:w="2300"/>
        <w:gridCol w:w="5400"/>
      </w:tblGrid>
      <w:tr>
        <w:trPr>
          <w:tblHeader/>
        </w:trPr>
        <w:tc>
          <w:tcPr>
            <w:tcW w:w="1300" w:type="dxa"/>
            <w:shd w:val="clear" w:color="auto" w:fill="EEF2F6"/>
          </w:tcPr>
          <w:p>
            <w:r>
              <w:rPr>
                <w:b/>
              </w:rPr>
              <w:t xml:space="preserve">Time</w:t>
            </w:r>
          </w:p>
        </w:tc>
        <w:tc>
          <w:tcPr>
            <w:tcW w:w="2300" w:type="dxa"/>
            <w:shd w:val="clear" w:color="auto" w:fill="EEF2F6"/>
          </w:tcPr>
          <w:p>
            <w:r>
              <w:rPr>
                <w:b/>
              </w:rPr>
              <w:t xml:space="preserve">Section</w:t>
            </w:r>
          </w:p>
        </w:tc>
        <w:tc>
          <w:tcPr>
            <w:tcW w:w="5400" w:type="dxa"/>
            <w:shd w:val="clear" w:color="auto" w:fill="EEF2F6"/>
          </w:tcPr>
          <w:p>
            <w:r>
              <w:rPr>
                <w:b/>
              </w:rPr>
              <w:t xml:space="preserve">Facilitator notes</w:t>
            </w:r>
          </w:p>
        </w:tc>
      </w:tr>
      <w:tr>
        <w:tc>
          <w:tcPr>
            <w:tcW w:w="1300" w:type="dxa"/>
          </w:tcPr>
          <w:p>
            <w:r>
              <w:t xml:space="preserve">0–20</w:t>
            </w:r>
          </w:p>
        </w:tc>
        <w:tc>
          <w:tcPr>
            <w:tcW w:w="2300" w:type="dxa"/>
          </w:tcPr>
          <w:p>
            <w:r>
              <w:t xml:space="preserve">1 · Persona</w:t>
            </w:r>
          </w:p>
        </w:tc>
        <w:tc>
          <w:tcPr>
            <w:tcW w:w="5400" w:type="dxa"/>
          </w:tcPr>
          <w:p>
            <w:r>
              <w:t xml:space="preserve">Fill in the persona from evidence. Mark anything that's a guess, to check later.</w:t>
            </w:r>
          </w:p>
        </w:tc>
      </w:tr>
      <w:tr>
        <w:tc>
          <w:tcPr>
            <w:tcW w:w="1300" w:type="dxa"/>
          </w:tcPr>
          <w:p>
            <w:r>
              <w:t xml:space="preserve">20–30</w:t>
            </w:r>
          </w:p>
        </w:tc>
        <w:tc>
          <w:tcPr>
            <w:tcW w:w="2300" w:type="dxa"/>
          </w:tcPr>
          <w:p>
            <w:r>
              <w:t xml:space="preserve">2 · The Journey</w:t>
            </w:r>
          </w:p>
        </w:tc>
        <w:tc>
          <w:tcPr>
            <w:tcW w:w="5400" w:type="dxa"/>
          </w:tcPr>
          <w:p>
            <w:r>
              <w:t xml:space="preserve">Agree the scenario, where it starts and ends, and the job to be done.</w:t>
            </w:r>
          </w:p>
        </w:tc>
      </w:tr>
      <w:tr>
        <w:tc>
          <w:tcPr>
            <w:tcW w:w="1300" w:type="dxa"/>
          </w:tcPr>
          <w:p>
            <w:r>
              <w:t xml:space="preserve">30–40</w:t>
            </w:r>
          </w:p>
        </w:tc>
        <w:tc>
          <w:tcPr>
            <w:tcW w:w="2300" w:type="dxa"/>
          </w:tcPr>
          <w:p>
            <w:r>
              <w:t xml:space="preserve">Stages</w:t>
            </w:r>
          </w:p>
        </w:tc>
        <w:tc>
          <w:tcPr>
            <w:tcW w:w="5400" w:type="dxa"/>
          </w:tcPr>
          <w:p>
            <w:r>
              <w:t xml:space="preserve">Name 4–6 stages of the journey across the top.</w:t>
            </w:r>
          </w:p>
        </w:tc>
      </w:tr>
      <w:tr>
        <w:tc>
          <w:tcPr>
            <w:tcW w:w="1300" w:type="dxa"/>
          </w:tcPr>
          <w:p>
            <w:r>
              <w:t xml:space="preserve">40–70</w:t>
            </w:r>
          </w:p>
        </w:tc>
        <w:tc>
          <w:tcPr>
            <w:tcW w:w="2300" w:type="dxa"/>
          </w:tcPr>
          <w:p>
            <w:r>
              <w:t xml:space="preserve">Doing · Thinking</w:t>
            </w:r>
          </w:p>
        </w:tc>
        <w:tc>
          <w:tcPr>
            <w:tcW w:w="5400" w:type="dxa"/>
          </w:tcPr>
          <w:p>
            <w:r>
              <w:t xml:space="preserve">For each stage, add what they do (yellow) and what they're thinking (blue).</w:t>
            </w:r>
          </w:p>
        </w:tc>
      </w:tr>
      <w:tr>
        <w:tc>
          <w:tcPr>
            <w:tcW w:w="1300" w:type="dxa"/>
          </w:tcPr>
          <w:p>
            <w:r>
              <w:t xml:space="preserve">70–80</w:t>
            </w:r>
          </w:p>
        </w:tc>
        <w:tc>
          <w:tcPr>
            <w:tcW w:w="2300" w:type="dxa"/>
          </w:tcPr>
          <w:p>
            <w:r>
              <w:t xml:space="preserve">Feeling</w:t>
            </w:r>
          </w:p>
        </w:tc>
        <w:tc>
          <w:tcPr>
            <w:tcW w:w="5400" w:type="dxa"/>
          </w:tcPr>
          <w:p>
            <w:r>
              <w:t xml:space="preserve">Draw the emotion line across the stages, high and low.</w:t>
            </w:r>
          </w:p>
        </w:tc>
      </w:tr>
      <w:tr>
        <w:tc>
          <w:tcPr>
            <w:tcW w:w="1300" w:type="dxa"/>
          </w:tcPr>
          <w:p>
            <w:r>
              <w:t xml:space="preserve">80–100</w:t>
            </w:r>
          </w:p>
        </w:tc>
        <w:tc>
          <w:tcPr>
            <w:tcW w:w="2300" w:type="dxa"/>
          </w:tcPr>
          <w:p>
            <w:r>
              <w:t xml:space="preserve">Pain points · Opportunities</w:t>
            </w:r>
          </w:p>
        </w:tc>
        <w:tc>
          <w:tcPr>
            <w:tcW w:w="5400" w:type="dxa"/>
          </w:tcPr>
          <w:p>
            <w:r>
              <w:t xml:space="preserve">Add pain points (pink) at the lows, then opportunities (green) to help.</w:t>
            </w:r>
          </w:p>
        </w:tc>
      </w:tr>
      <w:tr>
        <w:tc>
          <w:tcPr>
            <w:tcW w:w="1300" w:type="dxa"/>
          </w:tcPr>
          <w:p>
            <w:r>
              <w:t xml:space="preserve">100–110</w:t>
            </w:r>
          </w:p>
        </w:tc>
        <w:tc>
          <w:tcPr>
            <w:tcW w:w="2300" w:type="dxa"/>
          </w:tcPr>
          <w:p>
            <w:r>
              <w:t xml:space="preserve">Close</w:t>
            </w:r>
          </w:p>
        </w:tc>
        <w:tc>
          <w:tcPr>
            <w:tcW w:w="5400" w:type="dxa"/>
          </w:tcPr>
          <w:p>
            <w:r>
              <w:t xml:space="preserve">Vote on the top opportunities to take into the Opportunity Solution Tree.</w:t>
            </w:r>
          </w:p>
        </w:tc>
      </w:tr>
    </w:tbl>
    <w:p/>
    <w:p>
      <w:pPr>
        <w:pStyle w:val="Heading1"/>
      </w:pPr>
      <w:r>
        <w:t xml:space="preserve">Making each part strong</w:t>
      </w:r>
    </w:p>
    <w:p>
      <w:r>
        <w:t xml:space="preserve">Quality checks for the persona and the journey.</w:t>
      </w:r>
    </w:p>
    <w:p>
      <w:pPr>
        <w:pStyle w:val="Heading2"/>
      </w:pPr>
      <w:r>
        <w:t xml:space="preserve">Persona</w:t>
      </w:r>
    </w:p>
    <w:p>
      <w:pPr>
        <w:pStyle w:val="ListBullet"/>
        <w:numPr>
          <w:ilvl w:val="0"/>
          <w:numId w:val="1"/>
        </w:numPr>
      </w:pPr>
      <w:r>
        <w:t xml:space="preserve">Based on evidence</w:t>
      </w:r>
    </w:p>
    <w:p>
      <w:pPr>
        <w:pStyle w:val="ListBullet"/>
        <w:numPr>
          <w:ilvl w:val="0"/>
          <w:numId w:val="1"/>
        </w:numPr>
      </w:pPr>
      <w:r>
        <w:t xml:space="preserve">Specific, not average</w:t>
      </w:r>
    </w:p>
    <w:p>
      <w:pPr>
        <w:pStyle w:val="ListBullet"/>
        <w:numPr>
          <w:ilvl w:val="0"/>
          <w:numId w:val="1"/>
        </w:numPr>
      </w:pPr>
      <w:r>
        <w:t xml:space="preserve">Guesses are marked</w:t>
      </w:r>
    </w:p>
    <w:p>
      <w:pPr>
        <w:pStyle w:val="Heading2"/>
      </w:pPr>
      <w:r>
        <w:t xml:space="preserve">Job to Be Done</w:t>
      </w:r>
    </w:p>
    <w:p>
      <w:pPr>
        <w:pStyle w:val="ListBullet"/>
        <w:numPr>
          <w:ilvl w:val="0"/>
          <w:numId w:val="1"/>
        </w:numPr>
      </w:pPr>
      <w:r>
        <w:t xml:space="preserve">A situation, a motivation, an outcome</w:t>
      </w:r>
    </w:p>
    <w:p>
      <w:pPr>
        <w:pStyle w:val="ListBullet"/>
        <w:numPr>
          <w:ilvl w:val="0"/>
          <w:numId w:val="1"/>
        </w:numPr>
      </w:pPr>
      <w:r>
        <w:t xml:space="preserve">Not a feature</w:t>
      </w:r>
    </w:p>
    <w:p>
      <w:pPr>
        <w:pStyle w:val="Heading2"/>
      </w:pPr>
      <w:r>
        <w:t xml:space="preserve">Doing &amp; Thinking</w:t>
      </w:r>
    </w:p>
    <w:p>
      <w:pPr>
        <w:pStyle w:val="ListBullet"/>
        <w:numPr>
          <w:ilvl w:val="0"/>
          <w:numId w:val="1"/>
        </w:numPr>
      </w:pPr>
      <w:r>
        <w:t xml:space="preserve">In the user's words</w:t>
      </w:r>
    </w:p>
    <w:p>
      <w:pPr>
        <w:pStyle w:val="ListBullet"/>
        <w:numPr>
          <w:ilvl w:val="0"/>
          <w:numId w:val="1"/>
        </w:numPr>
      </w:pPr>
      <w:r>
        <w:t xml:space="preserve">Every stage covered</w:t>
      </w:r>
    </w:p>
    <w:p>
      <w:pPr>
        <w:pStyle w:val="Heading2"/>
      </w:pPr>
      <w:r>
        <w:t xml:space="preserve">Feeling</w:t>
      </w:r>
    </w:p>
    <w:p>
      <w:pPr>
        <w:pStyle w:val="ListBullet"/>
        <w:numPr>
          <w:ilvl w:val="0"/>
          <w:numId w:val="1"/>
        </w:numPr>
      </w:pPr>
      <w:r>
        <w:t xml:space="preserve">Highs and lows shown</w:t>
      </w:r>
    </w:p>
    <w:p>
      <w:pPr>
        <w:pStyle w:val="ListBullet"/>
        <w:numPr>
          <w:ilvl w:val="0"/>
          <w:numId w:val="1"/>
        </w:numPr>
      </w:pPr>
      <w:r>
        <w:t xml:space="preserve">Lows explained</w:t>
      </w:r>
    </w:p>
    <w:p>
      <w:pPr>
        <w:pStyle w:val="Heading2"/>
      </w:pPr>
      <w:r>
        <w:t xml:space="preserve">Pain points &amp; Opportunities</w:t>
      </w:r>
    </w:p>
    <w:p>
      <w:pPr>
        <w:pStyle w:val="ListBullet"/>
        <w:numPr>
          <w:ilvl w:val="0"/>
          <w:numId w:val="1"/>
        </w:numPr>
      </w:pPr>
      <w:r>
        <w:t xml:space="preserve">Opportunities match pain points</w:t>
      </w:r>
    </w:p>
    <w:p>
      <w:pPr>
        <w:pStyle w:val="ListBullet"/>
        <w:numPr>
          <w:ilvl w:val="0"/>
          <w:numId w:val="1"/>
        </w:numPr>
      </w:pPr>
      <w:r>
        <w:t xml:space="preserve">Ranked</w:t>
      </w:r>
    </w:p>
    <w:p>
      <w:pPr>
        <w:pStyle w:val="Heading1"/>
      </w:pPr>
      <w:r>
        <w:t xml:space="preserve">Facilitation tips</w:t>
      </w:r>
    </w:p>
    <w:p>
      <w:r>
        <w:rPr>
          <w:b/>
        </w:rPr>
        <w:t xml:space="preserve">Evidence, not imagination. </w:t>
      </w:r>
      <w:r>
        <w:t xml:space="preserve">A persona invented in the room reflects the team's assumptions. Ground it in real data.</w:t>
      </w:r>
    </w:p>
    <w:p>
      <w:r>
        <w:rPr>
          <w:b/>
        </w:rPr>
        <w:t xml:space="preserve">One persona per map. </w:t>
      </w:r>
      <w:r>
        <w:t xml:space="preserve">Different users have different journeys. Map them separately.</w:t>
      </w:r>
    </w:p>
    <w:p>
      <w:r>
        <w:rPr>
          <w:b/>
        </w:rPr>
        <w:t xml:space="preserve">Include before and after. </w:t>
      </w:r>
      <w:r>
        <w:t xml:space="preserve">Journeys often start before people reach your product, and end after.</w:t>
      </w:r>
    </w:p>
    <w:p>
      <w:r>
        <w:rPr>
          <w:b/>
        </w:rPr>
        <w:t xml:space="preserve">The lows matter most. </w:t>
      </w:r>
      <w:r>
        <w:t xml:space="preserve">The deepest dips in the feeling line are usually the biggest opportunities.</w:t>
      </w:r>
    </w:p>
    <w:p>
      <w:r>
        <w:rPr>
          <w:b/>
        </w:rPr>
        <w:t xml:space="preserve">Invite the front line. </w:t>
      </w:r>
      <w:r>
        <w:t xml:space="preserve">Support and sales staff hear pain points every day.</w:t>
      </w:r>
    </w:p>
    <w:p>
      <w:r>
        <w:rPr>
          <w:b/>
        </w:rPr>
        <w:t xml:space="preserve">Validate it. </w:t>
      </w:r>
      <w:r>
        <w:t xml:space="preserve">Show the map to a few real users and ask what's missing.</w:t>
      </w:r>
    </w:p>
    <w:p>
      <w:r>
        <w:rPr>
          <w:b/>
        </w:rPr>
        <w:t xml:space="preserve">Common pitfalls: </w:t>
      </w:r>
      <w:r>
        <w:t xml:space="preserve">personas based on demographics, not needs; one map for every user; mapping your internal process instead of the user's journey; no evidence; filing the map away instead of using it.</w:t>
      </w:r>
    </w:p>
    <w:p>
      <w:pPr>
        <w:pStyle w:val="Heading1"/>
      </w:pPr>
      <w:r>
        <w:t xml:space="preserve">After the session</w:t>
      </w:r>
    </w:p>
    <w:p>
      <w:r>
        <w:rPr>
          <w:b/>
        </w:rPr>
        <w:t xml:space="preserve">Straight away: </w:t>
      </w:r>
      <w:r>
        <w:t xml:space="preserve">Take the top opportunities into the Opportunity Solution Tree.</w:t>
      </w:r>
    </w:p>
    <w:p>
      <w:r>
        <w:rPr>
          <w:b/>
        </w:rPr>
        <w:t xml:space="preserve">This week: </w:t>
      </w:r>
      <w:r>
        <w:t xml:space="preserve">Check guesses on the persona with a few user interviews.</w:t>
      </w:r>
    </w:p>
    <w:p>
      <w:r>
        <w:rPr>
          <w:b/>
        </w:rPr>
        <w:t xml:space="preserve">Next: </w:t>
      </w:r>
      <w:r>
        <w:t xml:space="preserve">Use the journey to choose the backbone of a Story Map.</w:t>
      </w:r>
    </w:p>
    <w:p>
      <w:r>
        <w:rPr>
          <w:b/>
        </w:rPr>
        <w:t xml:space="preserve">Every few months: </w:t>
      </w:r>
      <w:r>
        <w:t xml:space="preserve">Update the persona and map as you learn.</w:t>
      </w:r>
    </w:p>
    <w:p>
      <w:pPr>
        <w:pStyle w:val="Heading1"/>
      </w:pPr>
      <w:r>
        <w:t xml:space="preserve">How it fits the toolkit</w:t>
      </w:r>
    </w:p>
    <w:p>
      <w:r>
        <w:t xml:space="preserve">The lifecycle tools follow the work from start to finish: a </w:t>
      </w:r>
      <w:r>
        <w:t xml:space="preserve">Team Charter</w:t>
      </w:r>
      <w:r>
        <w:t xml:space="preserve"> when a team forms, a </w:t>
      </w:r>
      <w:r>
        <w:t xml:space="preserve">Product Vision Board</w:t>
      </w:r>
      <w:r>
        <w:t xml:space="preserve"> to agree why the product exists, the </w:t>
      </w:r>
      <w:r>
        <w:t xml:space="preserve">Prioritisation Board</w:t>
      </w:r>
      <w:r>
        <w:t xml:space="preserve"> to decide what comes first, then </w:t>
      </w:r>
      <w:r>
        <w:t xml:space="preserve">Sprint Planning</w:t>
      </w:r>
      <w:r>
        <w:t xml:space="preserve"> and </w:t>
      </w:r>
      <w:r>
        <w:t xml:space="preserve">Sprint Review</w:t>
      </w:r>
      <w:r>
        <w:t xml:space="preserve"> each iteration, with a retrospective from the Retro Kit to close the loop. The break-down tools (Epic Canvas, Story Map, Story Splitting, Example Mapping) sit between vision and planning.</w:t>
      </w:r>
    </w:p>
    <w:p>
      <w:pPr>
        <w:pStyle w:val="Small"/>
      </w:pPr>
      <w:r>
        <w:t xml:space="preserve">Boards: https://eparker71.github.io/agile-ways-of-working/persona-journey-board.html  ·  Online guide: https://eparker71.github.io/agile-ways-of-working/facilitator-guide-persona-journey.html</w:t>
      </w:r>
    </w:p>
    <w:p>
      <w:pPr>
        <w:pStyle w:val="Small"/>
      </w:pPr>
      <w:r>
        <w:t xml:space="preserve">© 2026 Eric Parker · CC BY 4.0 · eparker71.github.io/agile-ways-of-working · Adapt it freely; please keep the credit and say what you changed.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60"/>
    </w:pPr>
    <w:rPr>
      <w:rFonts w:ascii="Georgia" w:hAnsi="Georgia"/>
      <w:sz w:val="48"/>
      <w:color w:val="0C1A2E"/>
    </w:rPr>
  </w:style>
  <w:style w:type="paragraph" w:styleId="Heading1">
    <w:name w:val="heading 1"/>
    <w:basedOn w:val="Normal"/>
    <w:next w:val="Normal"/>
    <w:pPr>
      <w:keepNext/>
      <w:spacing w:before="320" w:after="100"/>
      <w:outlineLvl w:val="0"/>
    </w:pPr>
    <w:rPr>
      <w:rFonts w:ascii="Georgia" w:hAnsi="Georgia"/>
      <w:sz w:val="32"/>
      <w:color w:val="0C1A2E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sz w:val="23"/>
      <w:color w:val="9A3412"/>
    </w:rPr>
  </w:style>
  <w:style w:type="paragraph" w:styleId="Quote">
    <w:name w:val="Quote"/>
    <w:basedOn w:val="Normal"/>
    <w:pPr>
      <w:ind w:left="284"/>
      <w:pBdr>
        <w:left w:val="single" w:sz="18" w:space="8" w:color="EB6C36"/>
      </w:pBdr>
    </w:pPr>
    <w:rPr>
      <w:rFonts w:ascii="Georgia" w:hAnsi="Georgia"/>
      <w:i/>
      <w:sz w:val="26"/>
    </w:rPr>
  </w:style>
  <w:style w:type="paragraph" w:styleId="ListBullet">
    <w:name w:val="List Bullet"/>
    <w:basedOn w:val="Normal"/>
    <w:pPr>
      <w:spacing w:after="40"/>
    </w:pPr>
  </w:style>
  <w:style w:type="paragraph" w:styleId="Small">
    <w:name w:val="Small"/>
    <w:basedOn w:val="Normal"/>
    <w:rPr>
      <w:sz w:val="17"/>
      <w:color w:val="64748B"/>
    </w:r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Persona &amp; Journey Map Guide</dc:title>
  <dc:creator>Eric Parker</dc:creator>
</cp:coreProperties>
</file>