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Project Kickoff Guide</w:t>
      </w:r>
    </w:p>
    <w:p>
      <w:r>
        <w:rPr>
          <w:i/>
        </w:rPr>
        <w:t xml:space="preserve">How to start an agile project with a shared why, clear scope, agreed trade-offs and named people.</w:t>
      </w:r>
    </w:p>
    <w:p>
      <w:pPr>
        <w:pStyle w:val="Small"/>
      </w:pPr>
      <w:r>
        <w:t xml:space="preserve">Facilitator Run-Sheet · Run a Project · Inception · Scope In &amp; Out · Trade-off Sliders</w:t>
      </w:r>
    </w:p>
    <w:p>
      <w:pPr>
        <w:pStyle w:val="Quote"/>
      </w:pPr>
      <w:r>
        <w:rPr>
          <w:i/>
        </w:rPr>
        <w:t xml:space="preserve">“If we had to cut half the scope, what would we keep?”</w:t>
      </w:r>
    </w:p>
    <w:p>
      <w:r>
        <w:t xml:space="preserve">Projects that start with a plan but no shared understanding pay for it later. The kickoff board gets the sponsor, product owner and team to agree </w:t>
      </w:r>
      <w:r>
        <w:rPr>
          <w:b/>
        </w:rPr>
        <w:t xml:space="preserve">why</w:t>
      </w:r>
      <w:r>
        <w:t xml:space="preserve"> the project exists, what's </w:t>
      </w:r>
      <w:r>
        <w:rPr>
          <w:b/>
        </w:rPr>
        <w:t xml:space="preserve">in and out</w:t>
      </w:r>
      <w:r>
        <w:t xml:space="preserve"> of scope, which of scope, time, budget, quality and team size can </w:t>
      </w:r>
      <w:r>
        <w:rPr>
          <w:b/>
        </w:rPr>
        <w:t xml:space="preserve">flex</w:t>
      </w:r>
      <w:r>
        <w:t xml:space="preserve">, the constraints, the people, the biggest worries, and the first milestones. It draws on the inception deck idea from Jonathan Rasmusson's </w:t>
      </w:r>
      <w:r>
        <w:rPr>
          <w:i/>
        </w:rPr>
        <w:t xml:space="preserve">The Agile Samurai</w:t>
      </w:r>
      <w:r>
        <w:t xml:space="preserve">.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Duration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Group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Use when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Output</w:t>
            </w:r>
          </w:p>
        </w:tc>
      </w:tr>
      <w:tr>
        <w:tc>
          <w:tcPr>
            <w:tcW w:w="2250" w:type="dxa"/>
          </w:tcPr>
          <w:p>
            <w:r>
              <w:t xml:space="preserve">2–3 h</w:t>
            </w:r>
          </w:p>
        </w:tc>
        <w:tc>
          <w:tcPr>
            <w:tcW w:w="2250" w:type="dxa"/>
          </w:tcPr>
          <w:p>
            <w:r>
              <w:t xml:space="preserve">Sponsor, PO, team,</w:t>
            </w:r>
            <w:r>
              <w:br/>
            </w:r>
            <w:r>
              <w:t xml:space="preserve">key stakeholders</w:t>
            </w:r>
          </w:p>
        </w:tc>
        <w:tc>
          <w:tcPr>
            <w:tcW w:w="2250" w:type="dxa"/>
          </w:tcPr>
          <w:p>
            <w:r>
              <w:t xml:space="preserve">A project or major</w:t>
            </w:r>
            <w:r>
              <w:br/>
            </w:r>
            <w:r>
              <w:t xml:space="preserve">initiative starts</w:t>
            </w:r>
          </w:p>
        </w:tc>
        <w:tc>
          <w:tcPr>
            <w:tcW w:w="2250" w:type="dxa"/>
          </w:tcPr>
          <w:p>
            <w:r>
              <w:t xml:space="preserve">A shared start:</w:t>
            </w:r>
            <w:r>
              <w:br/>
            </w:r>
            <w:r>
              <w:t xml:space="preserve">scope, trade-offs, people</w:t>
            </w:r>
          </w:p>
        </w:tc>
      </w:tr>
    </w:tbl>
    <w:p/>
    <w:p>
      <w:pPr>
        <w:pStyle w:val="Heading1"/>
      </w:pPr>
      <w:r>
        <w:t xml:space="preserve">Before the session</w:t>
      </w:r>
    </w:p>
    <w:p>
      <w:pPr>
        <w:pStyle w:val="ListBullet"/>
        <w:numPr>
          <w:ilvl w:val="0"/>
          <w:numId w:val="1"/>
        </w:numPr>
      </w:pPr>
      <w:r>
        <w:t xml:space="preserve">Print the board at A3 or larger, or load the SVG as a digital background</w:t>
      </w:r>
    </w:p>
    <w:p>
      <w:pPr>
        <w:pStyle w:val="ListBullet"/>
        <w:numPr>
          <w:ilvl w:val="0"/>
          <w:numId w:val="1"/>
        </w:numPr>
      </w:pPr>
      <w:r>
        <w:t xml:space="preserve">Ask the sponsor to come ready to explain why the project matters now</w:t>
      </w:r>
    </w:p>
    <w:p>
      <w:pPr>
        <w:pStyle w:val="ListBullet"/>
        <w:numPr>
          <w:ilvl w:val="0"/>
          <w:numId w:val="1"/>
        </w:numPr>
      </w:pPr>
      <w:r>
        <w:t xml:space="preserve">Gather any business case, contract, deadlines or budget constraints</w:t>
      </w:r>
    </w:p>
    <w:p>
      <w:pPr>
        <w:pStyle w:val="ListBullet"/>
        <w:numPr>
          <w:ilvl w:val="0"/>
          <w:numId w:val="1"/>
        </w:numPr>
      </w:pPr>
      <w:r>
        <w:t xml:space="preserve">Invite the people who will do the work, not just those who approved it</w:t>
      </w:r>
    </w:p>
    <w:p>
      <w:pPr>
        <w:pStyle w:val="ListBullet"/>
        <w:numPr>
          <w:ilvl w:val="0"/>
          <w:numId w:val="1"/>
        </w:numPr>
      </w:pPr>
      <w:r>
        <w:t xml:space="preserve">Yellow and pink stickies, markers and dot stickers</w:t>
      </w:r>
    </w:p>
    <w:p>
      <w:pPr>
        <w:pStyle w:val="Heading1"/>
      </w:pPr>
      <w:r>
        <w:t xml:space="preserve">Agenda &amp; run-sheet</w:t>
      </w:r>
    </w:p>
    <w:tbl>
      <w:tblPr>
        <w:tblStyle w:val="TableGrid"/>
        <w:tblW w:w="0" w:type="auto"/>
      </w:tblPr>
      <w:tblGrid>
        <w:gridCol w:w="1300"/>
        <w:gridCol w:w="2300"/>
        <w:gridCol w:w="5400"/>
      </w:tblGrid>
      <w:tr>
        <w:trPr>
          <w:tblHeader/>
        </w:trPr>
        <w:tc>
          <w:tcPr>
            <w:tcW w:w="1300" w:type="dxa"/>
            <w:shd w:val="clear" w:color="auto" w:fill="EEF2F6"/>
          </w:tcPr>
          <w:p>
            <w:r>
              <w:rPr>
                <w:b/>
              </w:rPr>
              <w:t xml:space="preserve">Time</w:t>
            </w:r>
          </w:p>
        </w:tc>
        <w:tc>
          <w:tcPr>
            <w:tcW w:w="2300" w:type="dxa"/>
            <w:shd w:val="clear" w:color="auto" w:fill="EEF2F6"/>
          </w:tcPr>
          <w:p>
            <w:r>
              <w:rPr>
                <w:b/>
              </w:rPr>
              <w:t xml:space="preserve">Section</w:t>
            </w:r>
          </w:p>
        </w:tc>
        <w:tc>
          <w:tcPr>
            <w:tcW w:w="5400" w:type="dxa"/>
            <w:shd w:val="clear" w:color="auto" w:fill="EEF2F6"/>
          </w:tcPr>
          <w:p>
            <w:r>
              <w:rPr>
                <w:b/>
              </w:rPr>
              <w:t xml:space="preserve">Facilitator notes</w:t>
            </w:r>
          </w:p>
        </w:tc>
      </w:tr>
      <w:tr>
        <w:tc>
          <w:tcPr>
            <w:tcW w:w="1300" w:type="dxa"/>
          </w:tcPr>
          <w:p>
            <w:r>
              <w:t xml:space="preserve">0–10</w:t>
            </w:r>
          </w:p>
        </w:tc>
        <w:tc>
          <w:tcPr>
            <w:tcW w:w="2300" w:type="dxa"/>
          </w:tcPr>
          <w:p>
            <w:r>
              <w:t xml:space="preserve">Welcome</w:t>
            </w:r>
          </w:p>
        </w:tc>
        <w:tc>
          <w:tcPr>
            <w:tcW w:w="5400" w:type="dxa"/>
          </w:tcPr>
          <w:p>
            <w:r>
              <w:t xml:space="preserve">Purpose of the session, and introductions. Explain that disagreement now is cheaper than later.</w:t>
            </w:r>
          </w:p>
        </w:tc>
      </w:tr>
      <w:tr>
        <w:tc>
          <w:tcPr>
            <w:tcW w:w="1300" w:type="dxa"/>
          </w:tcPr>
          <w:p>
            <w:r>
              <w:t xml:space="preserve">10–30</w:t>
            </w:r>
          </w:p>
        </w:tc>
        <w:tc>
          <w:tcPr>
            <w:tcW w:w="2300" w:type="dxa"/>
          </w:tcPr>
          <w:p>
            <w:r>
              <w:t xml:space="preserve">1 · Why Are We Here?</w:t>
            </w:r>
          </w:p>
        </w:tc>
        <w:tc>
          <w:tcPr>
            <w:tcW w:w="5400" w:type="dxa"/>
          </w:tcPr>
          <w:p>
            <w:r>
              <w:t xml:space="preserve">The sponsor explains the problem. The group writes the two sentences together until everyone agrees.</w:t>
            </w:r>
          </w:p>
        </w:tc>
      </w:tr>
      <w:tr>
        <w:tc>
          <w:tcPr>
            <w:tcW w:w="1300" w:type="dxa"/>
          </w:tcPr>
          <w:p>
            <w:r>
              <w:t xml:space="preserve">30–55</w:t>
            </w:r>
          </w:p>
        </w:tc>
        <w:tc>
          <w:tcPr>
            <w:tcW w:w="2300" w:type="dxa"/>
          </w:tcPr>
          <w:p>
            <w:r>
              <w:t xml:space="preserve">2 · Scope</w:t>
            </w:r>
          </w:p>
        </w:tc>
        <w:tc>
          <w:tcPr>
            <w:tcW w:w="5400" w:type="dxa"/>
          </w:tcPr>
          <w:p>
            <w:r>
              <w:t xml:space="preserve">List what's in and, just as importantly, what's out. Anything disputed goes to the sponsor to decide.</w:t>
            </w:r>
          </w:p>
        </w:tc>
      </w:tr>
      <w:tr>
        <w:tc>
          <w:tcPr>
            <w:tcW w:w="1300" w:type="dxa"/>
          </w:tcPr>
          <w:p>
            <w:r>
              <w:t xml:space="preserve">55–80</w:t>
            </w:r>
          </w:p>
        </w:tc>
        <w:tc>
          <w:tcPr>
            <w:tcW w:w="2300" w:type="dxa"/>
          </w:tcPr>
          <w:p>
            <w:r>
              <w:t xml:space="preserve">3 · Trade-off Sliders</w:t>
            </w:r>
          </w:p>
        </w:tc>
        <w:tc>
          <w:tcPr>
            <w:tcW w:w="5400" w:type="dxa"/>
          </w:tcPr>
          <w:p>
            <w:r>
              <w:t xml:space="preserve">For each row, agree how fixed it is. Only one can be fully fixed. Discuss what gives when plans change.</w:t>
            </w:r>
          </w:p>
        </w:tc>
      </w:tr>
      <w:tr>
        <w:tc>
          <w:tcPr>
            <w:tcW w:w="1300" w:type="dxa"/>
          </w:tcPr>
          <w:p>
            <w:r>
              <w:t xml:space="preserve">80–95</w:t>
            </w:r>
          </w:p>
        </w:tc>
        <w:tc>
          <w:tcPr>
            <w:tcW w:w="2300" w:type="dxa"/>
          </w:tcPr>
          <w:p>
            <w:r>
              <w:t xml:space="preserve">4 · Constraints · 5 · People</w:t>
            </w:r>
          </w:p>
        </w:tc>
        <w:tc>
          <w:tcPr>
            <w:tcW w:w="5400" w:type="dxa"/>
          </w:tcPr>
          <w:p>
            <w:r>
              <w:t xml:space="preserve">List the givens. Name the sponsor, product owner, delivery lead, teams, experts and decision forum.</w:t>
            </w:r>
          </w:p>
        </w:tc>
      </w:tr>
      <w:tr>
        <w:tc>
          <w:tcPr>
            <w:tcW w:w="1300" w:type="dxa"/>
          </w:tcPr>
          <w:p>
            <w:r>
              <w:t xml:space="preserve">95–115</w:t>
            </w:r>
          </w:p>
        </w:tc>
        <w:tc>
          <w:tcPr>
            <w:tcW w:w="2300" w:type="dxa"/>
          </w:tcPr>
          <w:p>
            <w:r>
              <w:t xml:space="preserve">6 · What Keeps Us Up at Night</w:t>
            </w:r>
          </w:p>
        </w:tc>
        <w:tc>
          <w:tcPr>
            <w:tcW w:w="5400" w:type="dxa"/>
          </w:tcPr>
          <w:p>
            <w:r>
              <w:t xml:space="preserve">Silent writing of risks and worries, then cluster. Move the biggest to the RAID Log.</w:t>
            </w:r>
          </w:p>
        </w:tc>
      </w:tr>
      <w:tr>
        <w:tc>
          <w:tcPr>
            <w:tcW w:w="1300" w:type="dxa"/>
          </w:tcPr>
          <w:p>
            <w:r>
              <w:t xml:space="preserve">115–135</w:t>
            </w:r>
          </w:p>
        </w:tc>
        <w:tc>
          <w:tcPr>
            <w:tcW w:w="2300" w:type="dxa"/>
          </w:tcPr>
          <w:p>
            <w:r>
              <w:t xml:space="preserve">7 · First Milestones</w:t>
            </w:r>
          </w:p>
        </w:tc>
        <w:tc>
          <w:tcPr>
            <w:tcW w:w="5400" w:type="dxa"/>
          </w:tcPr>
          <w:p>
            <w:r>
              <w:t xml:space="preserve">Agree 3–6 milestones described as outcomes, with target dates as ranges where possible.</w:t>
            </w:r>
          </w:p>
        </w:tc>
      </w:tr>
      <w:tr>
        <w:tc>
          <w:tcPr>
            <w:tcW w:w="1300" w:type="dxa"/>
          </w:tcPr>
          <w:p>
            <w:r>
              <w:t xml:space="preserve">135–150</w:t>
            </w:r>
          </w:p>
        </w:tc>
        <w:tc>
          <w:tcPr>
            <w:tcW w:w="2300" w:type="dxa"/>
          </w:tcPr>
          <w:p>
            <w:r>
              <w:t xml:space="preserve">8 · Next Steps · Close</w:t>
            </w:r>
          </w:p>
        </w:tc>
        <w:tc>
          <w:tcPr>
            <w:tcW w:w="5400" w:type="dxa"/>
          </w:tcPr>
          <w:p>
            <w:r>
              <w:t xml:space="preserve">Tick which tools come next and who owns them. Agree when to review this board.</w:t>
            </w:r>
          </w:p>
        </w:tc>
      </w:tr>
    </w:tbl>
    <w:p/>
    <w:p>
      <w:pPr>
        <w:pStyle w:val="Heading1"/>
      </w:pPr>
      <w:r>
        <w:t xml:space="preserve">Making each section strong</w:t>
      </w:r>
    </w:p>
    <w:p>
      <w:r>
        <w:t xml:space="preserve">Quality checks for each part of the board.</w:t>
      </w:r>
    </w:p>
    <w:p>
      <w:pPr>
        <w:pStyle w:val="Heading2"/>
      </w:pPr>
      <w:r>
        <w:t xml:space="preserve">1 · Why Are We Here?</w:t>
      </w:r>
    </w:p>
    <w:p>
      <w:pPr>
        <w:pStyle w:val="ListBullet"/>
        <w:numPr>
          <w:ilvl w:val="0"/>
          <w:numId w:val="1"/>
        </w:numPr>
      </w:pPr>
      <w:r>
        <w:t xml:space="preserve">A problem, not a solution</w:t>
      </w:r>
    </w:p>
    <w:p>
      <w:pPr>
        <w:pStyle w:val="ListBullet"/>
        <w:numPr>
          <w:ilvl w:val="0"/>
          <w:numId w:val="1"/>
        </w:numPr>
      </w:pPr>
      <w:r>
        <w:t xml:space="preserve">Success is observable</w:t>
      </w:r>
    </w:p>
    <w:p>
      <w:pPr>
        <w:pStyle w:val="Heading2"/>
      </w:pPr>
      <w:r>
        <w:t xml:space="preserve">2 · Scope</w:t>
      </w:r>
    </w:p>
    <w:p>
      <w:pPr>
        <w:pStyle w:val="ListBullet"/>
        <w:numPr>
          <w:ilvl w:val="0"/>
          <w:numId w:val="1"/>
        </w:numPr>
      </w:pPr>
      <w:r>
        <w:t xml:space="preserve">Out of scope is as long as in scope</w:t>
      </w:r>
    </w:p>
    <w:p>
      <w:pPr>
        <w:pStyle w:val="ListBullet"/>
        <w:numPr>
          <w:ilvl w:val="0"/>
          <w:numId w:val="1"/>
        </w:numPr>
      </w:pPr>
      <w:r>
        <w:t xml:space="preserve">Disputes have a decision owner</w:t>
      </w:r>
    </w:p>
    <w:p>
      <w:pPr>
        <w:pStyle w:val="Heading2"/>
      </w:pPr>
      <w:r>
        <w:t xml:space="preserve">3 · Trade-off Sliders</w:t>
      </w:r>
    </w:p>
    <w:p>
      <w:pPr>
        <w:pStyle w:val="ListBullet"/>
        <w:numPr>
          <w:ilvl w:val="0"/>
          <w:numId w:val="1"/>
        </w:numPr>
      </w:pPr>
      <w:r>
        <w:t xml:space="preserve">Only one fully fixed</w:t>
      </w:r>
    </w:p>
    <w:p>
      <w:pPr>
        <w:pStyle w:val="ListBullet"/>
        <w:numPr>
          <w:ilvl w:val="0"/>
          <w:numId w:val="1"/>
        </w:numPr>
      </w:pPr>
      <w:r>
        <w:t xml:space="preserve">Everyone can say what flexes first</w:t>
      </w:r>
    </w:p>
    <w:p>
      <w:pPr>
        <w:pStyle w:val="Heading2"/>
      </w:pPr>
      <w:r>
        <w:t xml:space="preserve">4 · Constraints &amp; Givens</w:t>
      </w:r>
    </w:p>
    <w:p>
      <w:pPr>
        <w:pStyle w:val="ListBullet"/>
        <w:numPr>
          <w:ilvl w:val="0"/>
          <w:numId w:val="1"/>
        </w:numPr>
      </w:pPr>
      <w:r>
        <w:t xml:space="preserve">Real constraints, not preferences</w:t>
      </w:r>
    </w:p>
    <w:p>
      <w:pPr>
        <w:pStyle w:val="ListBullet"/>
        <w:numPr>
          <w:ilvl w:val="0"/>
          <w:numId w:val="1"/>
        </w:numPr>
      </w:pPr>
      <w:r>
        <w:t xml:space="preserve">Each has a source</w:t>
      </w:r>
    </w:p>
    <w:p>
      <w:pPr>
        <w:pStyle w:val="Heading2"/>
      </w:pPr>
      <w:r>
        <w:t xml:space="preserve">5 · People &amp; Roles</w:t>
      </w:r>
    </w:p>
    <w:p>
      <w:pPr>
        <w:pStyle w:val="ListBullet"/>
        <w:numPr>
          <w:ilvl w:val="0"/>
          <w:numId w:val="1"/>
        </w:numPr>
      </w:pPr>
      <w:r>
        <w:t xml:space="preserve">One accountable sponsor</w:t>
      </w:r>
    </w:p>
    <w:p>
      <w:pPr>
        <w:pStyle w:val="ListBullet"/>
        <w:numPr>
          <w:ilvl w:val="0"/>
          <w:numId w:val="1"/>
        </w:numPr>
      </w:pPr>
      <w:r>
        <w:t xml:space="preserve">One product owner</w:t>
      </w:r>
    </w:p>
    <w:p>
      <w:pPr>
        <w:pStyle w:val="ListBullet"/>
        <w:numPr>
          <w:ilvl w:val="0"/>
          <w:numId w:val="1"/>
        </w:numPr>
      </w:pPr>
      <w:r>
        <w:t xml:space="preserve">A named decision forum</w:t>
      </w:r>
    </w:p>
    <w:p>
      <w:pPr>
        <w:pStyle w:val="Heading2"/>
      </w:pPr>
      <w:r>
        <w:t xml:space="preserve">6 · What Keeps Us Up at Night</w:t>
      </w:r>
    </w:p>
    <w:p>
      <w:pPr>
        <w:pStyle w:val="ListBullet"/>
        <w:numPr>
          <w:ilvl w:val="0"/>
          <w:numId w:val="1"/>
        </w:numPr>
      </w:pPr>
      <w:r>
        <w:t xml:space="preserve">Worries are spoken, not hidden</w:t>
      </w:r>
    </w:p>
    <w:p>
      <w:pPr>
        <w:pStyle w:val="ListBullet"/>
        <w:numPr>
          <w:ilvl w:val="0"/>
          <w:numId w:val="1"/>
        </w:numPr>
      </w:pPr>
      <w:r>
        <w:t xml:space="preserve">Big ones go to the RAID Log</w:t>
      </w:r>
    </w:p>
    <w:p>
      <w:pPr>
        <w:pStyle w:val="Heading2"/>
      </w:pPr>
      <w:r>
        <w:t xml:space="preserve">7 · First Milestones</w:t>
      </w:r>
    </w:p>
    <w:p>
      <w:pPr>
        <w:pStyle w:val="ListBullet"/>
        <w:numPr>
          <w:ilvl w:val="0"/>
          <w:numId w:val="1"/>
        </w:numPr>
      </w:pPr>
      <w:r>
        <w:t xml:space="preserve">Outcomes, not tasks</w:t>
      </w:r>
    </w:p>
    <w:p>
      <w:pPr>
        <w:pStyle w:val="ListBullet"/>
        <w:numPr>
          <w:ilvl w:val="0"/>
          <w:numId w:val="1"/>
        </w:numPr>
      </w:pPr>
      <w:r>
        <w:t xml:space="preserve">Early ones test the riskiest parts</w:t>
      </w:r>
    </w:p>
    <w:p>
      <w:pPr>
        <w:pStyle w:val="Heading2"/>
      </w:pPr>
      <w:r>
        <w:t xml:space="preserve">8 · Next Steps</w:t>
      </w:r>
    </w:p>
    <w:p>
      <w:pPr>
        <w:pStyle w:val="ListBullet"/>
        <w:numPr>
          <w:ilvl w:val="0"/>
          <w:numId w:val="1"/>
        </w:numPr>
      </w:pPr>
      <w:r>
        <w:t xml:space="preserve">Each next step has an owner</w:t>
      </w:r>
    </w:p>
    <w:p>
      <w:pPr>
        <w:pStyle w:val="ListBullet"/>
        <w:numPr>
          <w:ilvl w:val="0"/>
          <w:numId w:val="1"/>
        </w:numPr>
      </w:pPr>
      <w:r>
        <w:t xml:space="preserve">A review date is set</w:t>
      </w:r>
    </w:p>
    <w:p>
      <w:pPr>
        <w:pStyle w:val="Heading1"/>
      </w:pPr>
      <w:r>
        <w:t xml:space="preserve">Facilitation tips</w:t>
      </w:r>
    </w:p>
    <w:p>
      <w:r>
        <w:rPr>
          <w:b/>
        </w:rPr>
        <w:t xml:space="preserve">Start with why. </w:t>
      </w:r>
      <w:r>
        <w:t xml:space="preserve">If the group can't agree the problem, stop there. Everything else depends on it.</w:t>
      </w:r>
    </w:p>
    <w:p>
      <w:r>
        <w:rPr>
          <w:b/>
        </w:rPr>
        <w:t xml:space="preserve">Make out-of-scope visible. </w:t>
      </w:r>
      <w:r>
        <w:t xml:space="preserve">Saying what you won't do surfaces hidden expectations before they become complaints.</w:t>
      </w:r>
    </w:p>
    <w:p>
      <w:r>
        <w:rPr>
          <w:b/>
        </w:rPr>
        <w:t xml:space="preserve">Sliders force honesty. </w:t>
      </w:r>
      <w:r>
        <w:t xml:space="preserve">If someone wants every slider at Fixed, ask what should happen when the plan meets reality.</w:t>
      </w:r>
    </w:p>
    <w:p>
      <w:r>
        <w:rPr>
          <w:b/>
        </w:rPr>
        <w:t xml:space="preserve">Invite the doers. </w:t>
      </w:r>
      <w:r>
        <w:t xml:space="preserve">The team spots risks and constraints the sponsors can't see.</w:t>
      </w:r>
    </w:p>
    <w:p>
      <w:r>
        <w:rPr>
          <w:b/>
        </w:rPr>
        <w:t xml:space="preserve">Milestones as outcomes. </w:t>
      </w:r>
      <w:r>
        <w:t xml:space="preserve">“Customers can pay online” beats “payment module complete”.</w:t>
      </w:r>
    </w:p>
    <w:p>
      <w:r>
        <w:rPr>
          <w:b/>
        </w:rPr>
        <w:t xml:space="preserve">Keep it alive. </w:t>
      </w:r>
      <w:r>
        <w:t xml:space="preserve">Bring the board to reviews. Update it when scope, people or trade-offs change.</w:t>
      </w:r>
    </w:p>
    <w:p>
      <w:r>
        <w:rPr>
          <w:b/>
        </w:rPr>
        <w:t xml:space="preserve">Common pitfalls: </w:t>
      </w:r>
      <w:r>
        <w:t xml:space="preserve">a sponsor who presents and leaves; no out-of-scope list; every slider fixed; milestones that are tasks; ignoring the worries; treating the board as sign-off rather than a starting point.</w:t>
      </w:r>
    </w:p>
    <w:p>
      <w:pPr>
        <w:pStyle w:val="Heading1"/>
      </w:pPr>
      <w:r>
        <w:t xml:space="preserve">After the session</w:t>
      </w:r>
    </w:p>
    <w:p>
      <w:r>
        <w:rPr>
          <w:b/>
        </w:rPr>
        <w:t xml:space="preserve">Straight away: </w:t>
      </w:r>
      <w:r>
        <w:t xml:space="preserve">Photograph the board and share it with everyone involved, including those who missed it.</w:t>
      </w:r>
    </w:p>
    <w:p>
      <w:r>
        <w:rPr>
          <w:b/>
        </w:rPr>
        <w:t xml:space="preserve">This week: </w:t>
      </w:r>
      <w:r>
        <w:t xml:space="preserve">Run the Team Charter, Product Vision Board and Stakeholder Map sessions.</w:t>
      </w:r>
    </w:p>
    <w:p>
      <w:r>
        <w:rPr>
          <w:b/>
        </w:rPr>
        <w:t xml:space="preserve">First iteration: </w:t>
      </w:r>
      <w:r>
        <w:t xml:space="preserve">Set up the RAID Log and the Release Forecast, and plan the first slice.</w:t>
      </w:r>
    </w:p>
    <w:p>
      <w:r>
        <w:rPr>
          <w:b/>
        </w:rPr>
        <w:t xml:space="preserve">Each month: </w:t>
      </w:r>
      <w:r>
        <w:t xml:space="preserve">Review the board: has the why, scope or any trade-off changed?</w:t>
      </w:r>
    </w:p>
    <w:p>
      <w:pPr>
        <w:pStyle w:val="Heading1"/>
      </w:pPr>
      <w:r>
        <w:t xml:space="preserve">How it fits the toolkit</w:t>
      </w:r>
    </w:p>
    <w:p>
      <w:r>
        <w:t xml:space="preserve">The project tools work together: run a </w:t>
      </w:r>
      <w:r>
        <w:t xml:space="preserve">Project Kickoff</w:t>
      </w:r>
      <w:r>
        <w:t xml:space="preserve"> first, then build the </w:t>
      </w:r>
      <w:r>
        <w:t xml:space="preserve">Stakeholder Map</w:t>
      </w:r>
      <w:r>
        <w:t xml:space="preserve">, keep the </w:t>
      </w:r>
      <w:r>
        <w:t xml:space="preserve">RAID Log</w:t>
      </w:r>
      <w:r>
        <w:t xml:space="preserve"> up to date, and refresh the </w:t>
      </w:r>
      <w:r>
        <w:t xml:space="preserve">Release Forecast</w:t>
      </w:r>
      <w:r>
        <w:t xml:space="preserve"> after every iteration. Inside the project, teams use the lifecycle tools (Team Charter, Prioritisation, Sprint Planning and Review) and the break-down tools.</w:t>
      </w:r>
    </w:p>
    <w:p>
      <w:pPr>
        <w:pStyle w:val="Small"/>
      </w:pPr>
      <w:r>
        <w:t xml:space="preserve">Boards: https://eparker71.github.io/agile-ways-of-working/project-kickoff-board.html  ·  Online guide: https://eparker71.github.io/agile-ways-of-working/facilitator-guide-project-kickoff.html</w:t>
      </w:r>
    </w:p>
    <w:p>
      <w:pPr>
        <w:pStyle w:val="Small"/>
      </w:pPr>
      <w:r>
        <w:t xml:space="preserve">© 2026 Eric Parker · CC BY 4.0 · eparker71.github.io/agile-ways-of-working · Adapt it freely; please keep the credit and say what you changed.</w:t>
      </w:r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1E293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60"/>
    </w:pPr>
    <w:rPr>
      <w:rFonts w:ascii="Georgia" w:hAnsi="Georgia"/>
      <w:sz w:val="48"/>
      <w:color w:val="0C1A2E"/>
    </w:rPr>
  </w:style>
  <w:style w:type="paragraph" w:styleId="Heading1">
    <w:name w:val="heading 1"/>
    <w:basedOn w:val="Normal"/>
    <w:next w:val="Normal"/>
    <w:pPr>
      <w:keepNext/>
      <w:spacing w:before="320" w:after="100"/>
      <w:outlineLvl w:val="0"/>
    </w:pPr>
    <w:rPr>
      <w:rFonts w:ascii="Georgia" w:hAnsi="Georgia"/>
      <w:sz w:val="32"/>
      <w:color w:val="0C1A2E"/>
    </w:rPr>
  </w:style>
  <w:style w:type="paragraph" w:styleId="Heading2">
    <w:name w:val="heading 2"/>
    <w:basedOn w:val="Normal"/>
    <w:next w:val="Normal"/>
    <w:pPr>
      <w:keepNext/>
      <w:spacing w:before="200" w:after="60"/>
      <w:outlineLvl w:val="1"/>
    </w:pPr>
    <w:rPr>
      <w:b/>
      <w:sz w:val="23"/>
      <w:color w:val="9A3412"/>
    </w:rPr>
  </w:style>
  <w:style w:type="paragraph" w:styleId="Quote">
    <w:name w:val="Quote"/>
    <w:basedOn w:val="Normal"/>
    <w:pPr>
      <w:ind w:left="284"/>
      <w:pBdr>
        <w:left w:val="single" w:sz="18" w:space="8" w:color="EB6C36"/>
      </w:pBdr>
    </w:pPr>
    <w:rPr>
      <w:rFonts w:ascii="Georgia" w:hAnsi="Georgia"/>
      <w:i/>
      <w:sz w:val="26"/>
    </w:rPr>
  </w:style>
  <w:style w:type="paragraph" w:styleId="ListBullet">
    <w:name w:val="List Bullet"/>
    <w:basedOn w:val="Normal"/>
    <w:pPr>
      <w:spacing w:after="40"/>
    </w:pPr>
  </w:style>
  <w:style w:type="paragraph" w:styleId="Small">
    <w:name w:val="Small"/>
    <w:basedOn w:val="Normal"/>
    <w:rPr>
      <w:sz w:val="17"/>
      <w:color w:val="64748B"/>
    </w:rPr>
  </w:style>
  <w:style w:type="table" w:styleId="TableGrid">
    <w:name w:val="Table Grid"/>
    <w:tblPr>
      <w:tblBorders>
        <w:top w:val="single" w:sz="4" w:space="0" w:color="CBD5E1"/>
        <w:left w:val="single" w:sz="4" w:space="0" w:color="CBD5E1"/>
        <w:bottom w:val="single" w:sz="4" w:space="0" w:color="CBD5E1"/>
        <w:right w:val="single" w:sz="4" w:space="0" w:color="CBD5E1"/>
        <w:insideH w:val="single" w:sz="4" w:space="0" w:color="CBD5E1"/>
        <w:insideV w:val="single" w:sz="4" w:space="0" w:color="CBD5E1"/>
      </w:tblBorders>
      <w:tblCellMar>
        <w:top w:w="60" w:type="dxa"/>
        <w:left w:w="100" w:type="dxa"/>
        <w:bottom w:w="6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Kickoff Guide</dc:title>
  <dc:creator>Eric Parker</dc:creator>
</cp:coreProperties>
</file>