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Value Metrics Guide</w:t>
      </w:r>
    </w:p>
    <w:p>
      <w:r>
        <w:rPr>
          <w:i/>
        </w:rPr>
        <w:t xml:space="preserve">How to measure the value you deliver and your ability to deliver more, using four key value areas.</w:t>
      </w:r>
    </w:p>
    <w:p>
      <w:pPr>
        <w:pStyle w:val="Small"/>
      </w:pPr>
      <w:r>
        <w:t xml:space="preserve">Facilitator Run-Sheet · Lead the Organisation · Inspired by Evidence-Based Management</w:t>
      </w:r>
    </w:p>
    <w:p>
      <w:pPr>
        <w:pStyle w:val="Quote"/>
      </w:pPr>
      <w:r>
        <w:rPr>
          <w:i/>
        </w:rPr>
        <w:t xml:space="preserve">“How do we know we're delivering value, not just output?”</w:t>
      </w:r>
    </w:p>
    <w:p>
      <w:r>
        <w:t xml:space="preserve">Velocity and on-time delivery say little about whether customers are better off. This board is based on Scrum.org's </w:t>
      </w:r>
      <w:r>
        <w:rPr>
          <w:b/>
        </w:rPr>
        <w:t xml:space="preserve">Evidence-Based Management</w:t>
      </w:r>
      <w:r>
        <w:t xml:space="preserve"> (EBM), which looks at value through four </w:t>
      </w:r>
      <w:r>
        <w:rPr>
          <w:b/>
        </w:rPr>
        <w:t xml:space="preserve">key value areas</w:t>
      </w:r>
      <w:r>
        <w:t xml:space="preserve">: </w:t>
      </w:r>
      <w:r>
        <w:rPr>
          <w:b/>
        </w:rPr>
        <w:t xml:space="preserve">current value</w:t>
      </w:r>
      <w:r>
        <w:t xml:space="preserve"> delivered today, </w:t>
      </w:r>
      <w:r>
        <w:rPr>
          <w:b/>
        </w:rPr>
        <w:t xml:space="preserve">unrealised value</w:t>
      </w:r>
      <w:r>
        <w:t xml:space="preserve"> still on the table, </w:t>
      </w:r>
      <w:r>
        <w:rPr>
          <w:b/>
        </w:rPr>
        <w:t xml:space="preserve">time to market</w:t>
      </w:r>
      <w:r>
        <w:t xml:space="preserve">, and the </w:t>
      </w:r>
      <w:r>
        <w:rPr>
          <w:b/>
        </w:rPr>
        <w:t xml:space="preserve">ability to innovate</w:t>
      </w:r>
      <w:r>
        <w:t xml:space="preserve">. Each is tied to a strategic, intermediate and immediate goal, and the board ends with small experiments to improve the weakest area. It works for a product, a portfolio or a whole organisation.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90–120 min to set up</w:t>
            </w:r>
            <w:r>
              <w:br/>
            </w:r>
            <w:r>
              <w:t xml:space="preserve">30 min to review</w:t>
            </w:r>
          </w:p>
        </w:tc>
        <w:tc>
          <w:tcPr>
            <w:tcW w:w="2250" w:type="dxa"/>
          </w:tcPr>
          <w:p>
            <w:r>
              <w:t xml:space="preserve">Leaders, product</w:t>
            </w:r>
            <w:r>
              <w:br/>
            </w:r>
            <w:r>
              <w:t xml:space="preserve">managers, POs</w:t>
            </w:r>
          </w:p>
        </w:tc>
        <w:tc>
          <w:tcPr>
            <w:tcW w:w="2250" w:type="dxa"/>
          </w:tcPr>
          <w:p>
            <w:r>
              <w:t xml:space="preserve">Quarterly, or when</w:t>
            </w:r>
            <w:r>
              <w:br/>
            </w:r>
            <w:r>
              <w:t xml:space="preserve">“are we improving?” arises</w:t>
            </w:r>
          </w:p>
        </w:tc>
        <w:tc>
          <w:tcPr>
            <w:tcW w:w="2250" w:type="dxa"/>
          </w:tcPr>
          <w:p>
            <w:r>
              <w:t xml:space="preserve">Measures, a baseline</w:t>
            </w:r>
            <w:r>
              <w:br/>
            </w:r>
            <w:r>
              <w:t xml:space="preserve">&amp; experiments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 or larger,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Bring whatever data exists: customer satisfaction, usage, cycle time, releases, defects, time on new work</w:t>
      </w:r>
    </w:p>
    <w:p>
      <w:pPr>
        <w:pStyle w:val="ListBullet"/>
        <w:numPr>
          <w:ilvl w:val="0"/>
          <w:numId w:val="1"/>
        </w:numPr>
      </w:pPr>
      <w:r>
        <w:t xml:space="preserve">Agree the scope: one product, a group of products, or the organisation</w:t>
      </w:r>
    </w:p>
    <w:p>
      <w:pPr>
        <w:pStyle w:val="ListBullet"/>
        <w:numPr>
          <w:ilvl w:val="0"/>
          <w:numId w:val="1"/>
        </w:numPr>
      </w:pPr>
      <w:r>
        <w:t xml:space="preserve">Invite people who can act on the results, not just report them</w:t>
      </w:r>
    </w:p>
    <w:p>
      <w:pPr>
        <w:pStyle w:val="ListBullet"/>
        <w:numPr>
          <w:ilvl w:val="0"/>
          <w:numId w:val="1"/>
        </w:numPr>
      </w:pPr>
      <w:r>
        <w:t xml:space="preserve">Bring the product vision, OKRs or strategy so goals line up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0–20</w:t>
            </w:r>
          </w:p>
        </w:tc>
        <w:tc>
          <w:tcPr>
            <w:tcW w:w="2300" w:type="dxa"/>
          </w:tcPr>
          <w:p>
            <w:r>
              <w:t xml:space="preserve">1 · Goals</w:t>
            </w:r>
          </w:p>
        </w:tc>
        <w:tc>
          <w:tcPr>
            <w:tcW w:w="5400" w:type="dxa"/>
          </w:tcPr>
          <w:p>
            <w:r>
              <w:t xml:space="preserve">Agree the strategic goal, the next intermediate goal, and the immediate tactical goal.</w:t>
            </w:r>
          </w:p>
        </w:tc>
      </w:tr>
      <w:tr>
        <w:tc>
          <w:tcPr>
            <w:tcW w:w="1300" w:type="dxa"/>
          </w:tcPr>
          <w:p>
            <w:r>
              <w:t xml:space="preserve">20–70</w:t>
            </w:r>
          </w:p>
        </w:tc>
        <w:tc>
          <w:tcPr>
            <w:tcW w:w="2300" w:type="dxa"/>
          </w:tcPr>
          <w:p>
            <w:r>
              <w:t xml:space="preserve">2–5 · Key Value Areas</w:t>
            </w:r>
          </w:p>
        </w:tc>
        <w:tc>
          <w:tcPr>
            <w:tcW w:w="5400" w:type="dxa"/>
          </w:tcPr>
          <w:p>
            <w:r>
              <w:t xml:space="preserve">For each area, pick 1–3 measures from the examples or your own. Fill in now, target and trend where you have data.</w:t>
            </w:r>
          </w:p>
        </w:tc>
      </w:tr>
      <w:tr>
        <w:tc>
          <w:tcPr>
            <w:tcW w:w="1300" w:type="dxa"/>
          </w:tcPr>
          <w:p>
            <w:r>
              <w:t xml:space="preserve">70–85</w:t>
            </w:r>
          </w:p>
        </w:tc>
        <w:tc>
          <w:tcPr>
            <w:tcW w:w="2300" w:type="dxa"/>
          </w:tcPr>
          <w:p>
            <w:r>
              <w:t xml:space="preserve">What the numbers tell us</w:t>
            </w:r>
          </w:p>
        </w:tc>
        <w:tc>
          <w:tcPr>
            <w:tcW w:w="5400" w:type="dxa"/>
          </w:tcPr>
          <w:p>
            <w:r>
              <w:t xml:space="preserve">For each area, note what stands out. Where's the biggest gap or the weakest area?</w:t>
            </w:r>
          </w:p>
        </w:tc>
      </w:tr>
      <w:tr>
        <w:tc>
          <w:tcPr>
            <w:tcW w:w="1300" w:type="dxa"/>
          </w:tcPr>
          <w:p>
            <w:r>
              <w:t xml:space="preserve">85–105</w:t>
            </w:r>
          </w:p>
        </w:tc>
        <w:tc>
          <w:tcPr>
            <w:tcW w:w="2300" w:type="dxa"/>
          </w:tcPr>
          <w:p>
            <w:r>
              <w:t xml:space="preserve">6 · Experiments</w:t>
            </w:r>
          </w:p>
        </w:tc>
        <w:tc>
          <w:tcPr>
            <w:tcW w:w="5400" w:type="dxa"/>
          </w:tcPr>
          <w:p>
            <w:r>
              <w:t xml:space="preserve">Pick one experiment for the weakest area, with the measure you expect to move and an owner.</w:t>
            </w:r>
          </w:p>
        </w:tc>
      </w:tr>
      <w:tr>
        <w:tc>
          <w:tcPr>
            <w:tcW w:w="1300" w:type="dxa"/>
          </w:tcPr>
          <w:p>
            <w:r>
              <w:t xml:space="preserve">105–115</w:t>
            </w:r>
          </w:p>
        </w:tc>
        <w:tc>
          <w:tcPr>
            <w:tcW w:w="2300" w:type="dxa"/>
          </w:tcPr>
          <w:p>
            <w:r>
              <w:t xml:space="preserve">7 · Review Rhythm</w:t>
            </w:r>
          </w:p>
        </w:tc>
        <w:tc>
          <w:tcPr>
            <w:tcW w:w="5400" w:type="dxa"/>
          </w:tcPr>
          <w:p>
            <w:r>
              <w:t xml:space="preserve">Agree how often measures are updated and when leaders review them.</w:t>
            </w:r>
          </w:p>
        </w:tc>
      </w:tr>
    </w:tbl>
    <w:p/>
    <w:p>
      <w:pPr>
        <w:pStyle w:val="Heading1"/>
      </w:pPr>
      <w:r>
        <w:t xml:space="preserve">The four key value areas</w:t>
      </w:r>
    </w:p>
    <w:p>
      <w:r>
        <w:t xml:space="preserve">Each looks at value from a different angle; balance all four.</w:t>
      </w:r>
    </w:p>
    <w:p>
      <w:pPr>
        <w:pStyle w:val="Heading2"/>
      </w:pPr>
      <w:r>
        <w:t xml:space="preserve">Current Value</w:t>
      </w:r>
    </w:p>
    <w:p>
      <w:pPr>
        <w:pStyle w:val="ListBullet"/>
        <w:numPr>
          <w:ilvl w:val="0"/>
          <w:numId w:val="1"/>
        </w:numPr>
      </w:pPr>
      <w:r>
        <w:t xml:space="preserve">Value customers get today</w:t>
      </w:r>
    </w:p>
    <w:p>
      <w:pPr>
        <w:pStyle w:val="ListBullet"/>
        <w:numPr>
          <w:ilvl w:val="0"/>
          <w:numId w:val="1"/>
        </w:numPr>
      </w:pPr>
      <w:r>
        <w:t xml:space="preserve">Satisfaction, usage, revenue</w:t>
      </w:r>
    </w:p>
    <w:p>
      <w:pPr>
        <w:pStyle w:val="ListBullet"/>
        <w:numPr>
          <w:ilvl w:val="0"/>
          <w:numId w:val="1"/>
        </w:numPr>
      </w:pPr>
      <w:r>
        <w:t xml:space="preserve">Employee satisfaction too</w:t>
      </w:r>
    </w:p>
    <w:p>
      <w:pPr>
        <w:pStyle w:val="Heading2"/>
      </w:pPr>
      <w:r>
        <w:t xml:space="preserve">Unrealised Value</w:t>
      </w:r>
    </w:p>
    <w:p>
      <w:pPr>
        <w:pStyle w:val="ListBullet"/>
        <w:numPr>
          <w:ilvl w:val="0"/>
          <w:numId w:val="1"/>
        </w:numPr>
      </w:pPr>
      <w:r>
        <w:t xml:space="preserve">Value we could still create</w:t>
      </w:r>
    </w:p>
    <w:p>
      <w:pPr>
        <w:pStyle w:val="ListBullet"/>
        <w:numPr>
          <w:ilvl w:val="0"/>
          <w:numId w:val="1"/>
        </w:numPr>
      </w:pPr>
      <w:r>
        <w:t xml:space="preserve">Unmet needs, market gaps</w:t>
      </w:r>
    </w:p>
    <w:p>
      <w:pPr>
        <w:pStyle w:val="Heading2"/>
      </w:pPr>
      <w:r>
        <w:t xml:space="preserve">Time to Market</w:t>
      </w:r>
    </w:p>
    <w:p>
      <w:pPr>
        <w:pStyle w:val="ListBullet"/>
        <w:numPr>
          <w:ilvl w:val="0"/>
          <w:numId w:val="1"/>
        </w:numPr>
      </w:pPr>
      <w:r>
        <w:t xml:space="preserve">How fast we deliver and learn</w:t>
      </w:r>
    </w:p>
    <w:p>
      <w:pPr>
        <w:pStyle w:val="ListBullet"/>
        <w:numPr>
          <w:ilvl w:val="0"/>
          <w:numId w:val="1"/>
        </w:numPr>
      </w:pPr>
      <w:r>
        <w:t xml:space="preserve">Lead time, release frequency</w:t>
      </w:r>
    </w:p>
    <w:p>
      <w:pPr>
        <w:pStyle w:val="Heading2"/>
      </w:pPr>
      <w:r>
        <w:t xml:space="preserve">Ability to Innovate</w:t>
      </w:r>
    </w:p>
    <w:p>
      <w:pPr>
        <w:pStyle w:val="ListBullet"/>
        <w:numPr>
          <w:ilvl w:val="0"/>
          <w:numId w:val="1"/>
        </w:numPr>
      </w:pPr>
      <w:r>
        <w:t xml:space="preserve">What slows new value</w:t>
      </w:r>
    </w:p>
    <w:p>
      <w:pPr>
        <w:pStyle w:val="ListBullet"/>
        <w:numPr>
          <w:ilvl w:val="0"/>
          <w:numId w:val="1"/>
        </w:numPr>
      </w:pPr>
      <w:r>
        <w:t xml:space="preserve">Tech debt, defects, time on new work</w:t>
      </w:r>
    </w:p>
    <w:p>
      <w:pPr>
        <w:pStyle w:val="Heading2"/>
      </w:pPr>
      <w:r>
        <w:t xml:space="preserve">Goals</w:t>
      </w:r>
    </w:p>
    <w:p>
      <w:pPr>
        <w:pStyle w:val="ListBullet"/>
        <w:numPr>
          <w:ilvl w:val="0"/>
          <w:numId w:val="1"/>
        </w:numPr>
      </w:pPr>
      <w:r>
        <w:t xml:space="preserve">Strategic, intermediate, tactical</w:t>
      </w:r>
    </w:p>
    <w:p>
      <w:pPr>
        <w:pStyle w:val="ListBullet"/>
        <w:numPr>
          <w:ilvl w:val="0"/>
          <w:numId w:val="1"/>
        </w:numPr>
      </w:pPr>
      <w:r>
        <w:t xml:space="preserve">Measures link to them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Balance the four. </w:t>
      </w:r>
      <w:r>
        <w:t xml:space="preserve">Optimising one area, often time to market, can hurt another. Look at all four together.</w:t>
      </w:r>
    </w:p>
    <w:p>
      <w:r>
        <w:rPr>
          <w:b/>
        </w:rPr>
        <w:t xml:space="preserve">Few measures. </w:t>
      </w:r>
      <w:r>
        <w:t xml:space="preserve">One to three per area is enough. More measures mean less attention.</w:t>
      </w:r>
    </w:p>
    <w:p>
      <w:r>
        <w:rPr>
          <w:b/>
        </w:rPr>
        <w:t xml:space="preserve">Trends over targets. </w:t>
      </w:r>
      <w:r>
        <w:t xml:space="preserve">The direction over several reviews matters more than any single number.</w:t>
      </w:r>
    </w:p>
    <w:p>
      <w:r>
        <w:rPr>
          <w:b/>
        </w:rPr>
        <w:t xml:space="preserve">Experiments, not mandates. </w:t>
      </w:r>
      <w:r>
        <w:t xml:space="preserve">Treat improvements as hypotheses: measure, then keep, adapt or drop them.</w:t>
      </w:r>
    </w:p>
    <w:p>
      <w:r>
        <w:rPr>
          <w:b/>
        </w:rPr>
        <w:t xml:space="preserve">Leaders own it. </w:t>
      </w:r>
      <w:r>
        <w:t xml:space="preserve">The board is for decisions about investment and priorities, not for judging teams.</w:t>
      </w:r>
    </w:p>
    <w:p>
      <w:r>
        <w:rPr>
          <w:b/>
        </w:rPr>
        <w:t xml:space="preserve">Start with what you have. </w:t>
      </w:r>
      <w:r>
        <w:t xml:space="preserve">Imperfect data now beats perfect data never. Improve the measures as you go.</w:t>
      </w:r>
    </w:p>
    <w:p>
      <w:r>
        <w:rPr>
          <w:b/>
        </w:rPr>
        <w:t xml:space="preserve">Common pitfalls: </w:t>
      </w:r>
      <w:r>
        <w:t xml:space="preserve">measuring only output; turning measures into team targets; too many measures; no baseline; reviewing numbers without acting; using it to compare teams.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Share the board with the teams and stakeholders affected.</w:t>
      </w:r>
    </w:p>
    <w:p>
      <w:r>
        <w:rPr>
          <w:b/>
        </w:rPr>
        <w:t xml:space="preserve">This month: </w:t>
      </w:r>
      <w:r>
        <w:t xml:space="preserve">Start the experiments and set up the data you're missing.</w:t>
      </w:r>
    </w:p>
    <w:p>
      <w:r>
        <w:rPr>
          <w:b/>
        </w:rPr>
        <w:t xml:space="preserve">Each review: </w:t>
      </w:r>
      <w:r>
        <w:t xml:space="preserve">Update the measures, look at trends, and decide what to keep or change.</w:t>
      </w:r>
    </w:p>
    <w:p>
      <w:r>
        <w:rPr>
          <w:b/>
        </w:rPr>
        <w:t xml:space="preserve">Quarterly: </w:t>
      </w:r>
      <w:r>
        <w:t xml:space="preserve">Revisit the goals, and feed insights into OKRs and the Prioritisation Board.</w:t>
      </w:r>
    </w:p>
    <w:p>
      <w:pPr>
        <w:pStyle w:val="Heading1"/>
      </w:pPr>
      <w:r>
        <w:t xml:space="preserve">How it fits the toolkit</w:t>
      </w:r>
    </w:p>
    <w:p>
      <w:r>
        <w:t xml:space="preserve">Value metrics sit above the rest of the toolkit: use them with </w:t>
      </w:r>
      <w:r>
        <w:t xml:space="preserve">OKRs</w:t>
      </w:r>
      <w:r>
        <w:t xml:space="preserve"> to set direction, the </w:t>
      </w:r>
      <w:r>
        <w:t xml:space="preserve">Prioritisation Board</w:t>
      </w:r>
      <w:r>
        <w:t xml:space="preserve"> to decide what to fund, and the flow pack (for example </w:t>
      </w:r>
      <w:r>
        <w:t xml:space="preserve">Ageing WIP</w:t>
      </w:r>
      <w:r>
        <w:t xml:space="preserve">) to improve time to market. The </w:t>
      </w:r>
      <w:r>
        <w:t xml:space="preserve">Outcome Status Report</w:t>
      </w:r>
      <w:r>
        <w:t xml:space="preserve"> is a good place to share them.</w:t>
      </w:r>
    </w:p>
    <w:p>
      <w:pPr>
        <w:pStyle w:val="Small"/>
      </w:pPr>
      <w:r>
        <w:t xml:space="preserve">Boards: https://eparker71.github.io/agile-ways-of-working/value-metrics-board.html  ·  Online guide: https://eparker71.github.io/agile-ways-of-working/facilitator-guide-value-metrics.html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Value Metrics Guide</dc:title>
  <dc:creator>Eric Parker</dc:creator>
</cp:coreProperties>
</file>