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t xml:space="preserve">Cynefin® Sense-Making Guide</w:t>
      </w:r>
    </w:p>
    <w:p>
      <w:r>
        <w:rPr>
          <w:i/>
        </w:rPr>
        <w:t xml:space="preserve">How to sort situations by how predictable they are, and choose an approach that fits each one.</w:t>
      </w:r>
    </w:p>
    <w:p>
      <w:pPr>
        <w:pStyle w:val="Small"/>
      </w:pPr>
      <w:r>
        <w:t xml:space="preserve">Facilitator Run-Sheet · Lead the Organisation · Inspired by the Cynefin® Framework</w:t>
      </w:r>
    </w:p>
    <w:p>
      <w:pPr>
        <w:pStyle w:val="Quote"/>
      </w:pPr>
      <w:r>
        <w:rPr>
          <w:i/>
        </w:rPr>
        <w:t xml:space="preserve">“Are we treating a complex problem as if it were only complicated?”</w:t>
      </w:r>
    </w:p>
    <w:p>
      <w:r>
        <w:t xml:space="preserve">Many failures come from using the wrong kind of approach: detailed plans for problems nobody can predict, or experiments where a known answer exists. The </w:t>
      </w:r>
      <w:r>
        <w:rPr>
          <w:b/>
        </w:rPr>
        <w:t xml:space="preserve">Cynefin® framework</w:t>
      </w:r>
      <w:r>
        <w:t xml:space="preserve">, created by Dave Snowden, helps a group decide what kind of situation they're in. In </w:t>
      </w:r>
      <w:r>
        <w:rPr>
          <w:b/>
        </w:rPr>
        <w:t xml:space="preserve">clear</w:t>
      </w:r>
      <w:r>
        <w:t xml:space="preserve"> situations the answer is known; follow the practice. In </w:t>
      </w:r>
      <w:r>
        <w:rPr>
          <w:b/>
        </w:rPr>
        <w:t xml:space="preserve">complicated</w:t>
      </w:r>
      <w:r>
        <w:t xml:space="preserve"> ones, experts can analyse their way to a good answer. In </w:t>
      </w:r>
      <w:r>
        <w:rPr>
          <w:b/>
        </w:rPr>
        <w:t xml:space="preserve">complex</w:t>
      </w:r>
      <w:r>
        <w:t xml:space="preserve"> ones, cause and effect only make sense afterwards, so run </w:t>
      </w:r>
      <w:r>
        <w:rPr>
          <w:b/>
        </w:rPr>
        <w:t xml:space="preserve">safe-to-fail experiments</w:t>
      </w:r>
      <w:r>
        <w:t xml:space="preserve">. In </w:t>
      </w:r>
      <w:r>
        <w:rPr>
          <w:b/>
        </w:rPr>
        <w:t xml:space="preserve">chaotic</w:t>
      </w:r>
      <w:r>
        <w:t xml:space="preserve"> ones, act first to stabilise. In the centre, </w:t>
      </w:r>
      <w:r>
        <w:rPr>
          <w:b/>
        </w:rPr>
        <w:t xml:space="preserve">confusion</w:t>
      </w:r>
      <w:r>
        <w:t xml:space="preserve">, you don't yet know which applies. This board is a simple, practical introduction; the full framework goes much further. Cynefin® is a registered trademark of Cognitive Edge Pte Ltd.</w:t>
      </w:r>
    </w:p>
    <w:tbl>
      <w:tblPr>
        <w:tblStyle w:val="TableGrid"/>
        <w:tblW w:w="0" w:type="auto"/>
      </w:tblPr>
      <w:tblGrid>
        <w:gridCol w:w="2250"/>
        <w:gridCol w:w="2250"/>
        <w:gridCol w:w="2250"/>
        <w:gridCol w:w="2250"/>
      </w:tblGrid>
      <w:tr>
        <w:trPr>
          <w:tblHeader/>
        </w:trPr>
        <w:tc>
          <w:tcPr>
            <w:tcW w:w="2250" w:type="dxa"/>
            <w:shd w:val="clear" w:color="auto" w:fill="EEF2F6"/>
          </w:tcPr>
          <w:p>
            <w:r>
              <w:rPr>
                <w:b/>
              </w:rPr>
              <w:t xml:space="preserve">Duration</w:t>
            </w:r>
          </w:p>
        </w:tc>
        <w:tc>
          <w:tcPr>
            <w:tcW w:w="2250" w:type="dxa"/>
            <w:shd w:val="clear" w:color="auto" w:fill="EEF2F6"/>
          </w:tcPr>
          <w:p>
            <w:r>
              <w:rPr>
                <w:b/>
              </w:rPr>
              <w:t xml:space="preserve">Group</w:t>
            </w:r>
          </w:p>
        </w:tc>
        <w:tc>
          <w:tcPr>
            <w:tcW w:w="2250" w:type="dxa"/>
            <w:shd w:val="clear" w:color="auto" w:fill="EEF2F6"/>
          </w:tcPr>
          <w:p>
            <w:r>
              <w:rPr>
                <w:b/>
              </w:rPr>
              <w:t xml:space="preserve">Use when</w:t>
            </w:r>
          </w:p>
        </w:tc>
        <w:tc>
          <w:tcPr>
            <w:tcW w:w="2250" w:type="dxa"/>
            <w:shd w:val="clear" w:color="auto" w:fill="EEF2F6"/>
          </w:tcPr>
          <w:p>
            <w:r>
              <w:rPr>
                <w:b/>
              </w:rPr>
              <w:t xml:space="preserve">Output</w:t>
            </w:r>
          </w:p>
        </w:tc>
      </w:tr>
      <w:tr>
        <w:tc>
          <w:tcPr>
            <w:tcW w:w="2250" w:type="dxa"/>
          </w:tcPr>
          <w:p>
            <w:r>
              <w:t xml:space="preserve">45–75 min</w:t>
            </w:r>
          </w:p>
        </w:tc>
        <w:tc>
          <w:tcPr>
            <w:tcW w:w="2250" w:type="dxa"/>
          </w:tcPr>
          <w:p>
            <w:r>
              <w:t xml:space="preserve">A team or leadership</w:t>
            </w:r>
            <w:r>
              <w:br/>
            </w:r>
            <w:r>
              <w:t xml:space="preserve">group, 4–12 people</w:t>
            </w:r>
          </w:p>
        </w:tc>
        <w:tc>
          <w:tcPr>
            <w:tcW w:w="2250" w:type="dxa"/>
          </w:tcPr>
          <w:p>
            <w:r>
              <w:t xml:space="preserve">Choosing how to approach</w:t>
            </w:r>
            <w:r>
              <w:br/>
            </w:r>
            <w:r>
              <w:t xml:space="preserve">a problem or portfolio</w:t>
            </w:r>
          </w:p>
        </w:tc>
        <w:tc>
          <w:tcPr>
            <w:tcW w:w="2250" w:type="dxa"/>
          </w:tcPr>
          <w:p>
            <w:r>
              <w:t xml:space="preserve">Situations placed,</w:t>
            </w:r>
            <w:r>
              <w:br/>
            </w:r>
            <w:r>
              <w:t xml:space="preserve">and an approach</w:t>
            </w:r>
          </w:p>
        </w:tc>
      </w:tr>
    </w:tbl>
    <w:p/>
    <w:p>
      <w:pPr>
        <w:pStyle w:val="Heading1"/>
      </w:pPr>
      <w:r>
        <w:t xml:space="preserve">Before the session</w:t>
      </w:r>
    </w:p>
    <w:p>
      <w:pPr>
        <w:pStyle w:val="ListBullet"/>
        <w:numPr>
          <w:ilvl w:val="0"/>
          <w:numId w:val="1"/>
        </w:numPr>
      </w:pPr>
      <w:r>
        <w:t xml:space="preserve">Print the board at A3 or 11×17, or load the SVG as a digital background</w:t>
      </w:r>
    </w:p>
    <w:p>
      <w:pPr>
        <w:pStyle w:val="ListBullet"/>
        <w:numPr>
          <w:ilvl w:val="0"/>
          <w:numId w:val="1"/>
        </w:numPr>
      </w:pPr>
      <w:r>
        <w:t xml:space="preserve">Ask everyone to bring current situations, problems or pieces of work, one per sticky</w:t>
      </w:r>
    </w:p>
    <w:p>
      <w:pPr>
        <w:pStyle w:val="ListBullet"/>
        <w:numPr>
          <w:ilvl w:val="0"/>
          <w:numId w:val="1"/>
        </w:numPr>
      </w:pPr>
      <w:r>
        <w:t xml:space="preserve">Prepare one example for each domain from your own context</w:t>
      </w:r>
    </w:p>
    <w:p>
      <w:pPr>
        <w:pStyle w:val="ListBullet"/>
        <w:numPr>
          <w:ilvl w:val="0"/>
          <w:numId w:val="1"/>
        </w:numPr>
      </w:pPr>
      <w:r>
        <w:t xml:space="preserve">Agree beforehand that the aim is a fitting approach, not a perfect classification</w:t>
      </w:r>
    </w:p>
    <w:p>
      <w:pPr>
        <w:pStyle w:val="Heading1"/>
      </w:pPr>
      <w:r>
        <w:t xml:space="preserve">Agenda &amp; run-sheet</w:t>
      </w:r>
    </w:p>
    <w:tbl>
      <w:tblPr>
        <w:tblStyle w:val="TableGrid"/>
        <w:tblW w:w="0" w:type="auto"/>
      </w:tblPr>
      <w:tblGrid>
        <w:gridCol w:w="1300"/>
        <w:gridCol w:w="2300"/>
        <w:gridCol w:w="5400"/>
      </w:tblGrid>
      <w:tr>
        <w:trPr>
          <w:tblHeader/>
        </w:trPr>
        <w:tc>
          <w:tcPr>
            <w:tcW w:w="1300" w:type="dxa"/>
            <w:shd w:val="clear" w:color="auto" w:fill="EEF2F6"/>
          </w:tcPr>
          <w:p>
            <w:r>
              <w:rPr>
                <w:b/>
              </w:rPr>
              <w:t xml:space="preserve">Time</w:t>
            </w:r>
          </w:p>
        </w:tc>
        <w:tc>
          <w:tcPr>
            <w:tcW w:w="2300" w:type="dxa"/>
            <w:shd w:val="clear" w:color="auto" w:fill="EEF2F6"/>
          </w:tcPr>
          <w:p>
            <w:r>
              <w:rPr>
                <w:b/>
              </w:rPr>
              <w:t xml:space="preserve">Section</w:t>
            </w:r>
          </w:p>
        </w:tc>
        <w:tc>
          <w:tcPr>
            <w:tcW w:w="5400" w:type="dxa"/>
            <w:shd w:val="clear" w:color="auto" w:fill="EEF2F6"/>
          </w:tcPr>
          <w:p>
            <w:r>
              <w:rPr>
                <w:b/>
              </w:rPr>
              <w:t xml:space="preserve">Facilitator notes</w:t>
            </w:r>
          </w:p>
        </w:tc>
      </w:tr>
      <w:tr>
        <w:tc>
          <w:tcPr>
            <w:tcW w:w="1300" w:type="dxa"/>
          </w:tcPr>
          <w:p>
            <w:r>
              <w:t xml:space="preserve">0–10</w:t>
            </w:r>
          </w:p>
        </w:tc>
        <w:tc>
          <w:tcPr>
            <w:tcW w:w="2300" w:type="dxa"/>
          </w:tcPr>
          <w:p>
            <w:r>
              <w:t xml:space="preserve">Introduce</w:t>
            </w:r>
          </w:p>
        </w:tc>
        <w:tc>
          <w:tcPr>
            <w:tcW w:w="5400" w:type="dxa"/>
          </w:tcPr>
          <w:p>
            <w:r>
              <w:t xml:space="preserve">Walk through the four domains and the centre with your own examples.</w:t>
            </w:r>
          </w:p>
        </w:tc>
      </w:tr>
      <w:tr>
        <w:tc>
          <w:tcPr>
            <w:tcW w:w="1300" w:type="dxa"/>
          </w:tcPr>
          <w:p>
            <w:r>
              <w:t xml:space="preserve">10–25</w:t>
            </w:r>
          </w:p>
        </w:tc>
        <w:tc>
          <w:tcPr>
            <w:tcW w:w="2300" w:type="dxa"/>
          </w:tcPr>
          <w:p>
            <w:r>
              <w:t xml:space="preserve">1–4 · Place situations</w:t>
            </w:r>
          </w:p>
        </w:tc>
        <w:tc>
          <w:tcPr>
            <w:tcW w:w="5400" w:type="dxa"/>
          </w:tcPr>
          <w:p>
            <w:r>
              <w:t xml:space="preserve">People place stickies silently, then discuss the ones that moved or split the group.</w:t>
            </w:r>
          </w:p>
        </w:tc>
      </w:tr>
      <w:tr>
        <w:tc>
          <w:tcPr>
            <w:tcW w:w="1300" w:type="dxa"/>
          </w:tcPr>
          <w:p>
            <w:r>
              <w:t xml:space="preserve">25–35</w:t>
            </w:r>
          </w:p>
        </w:tc>
        <w:tc>
          <w:tcPr>
            <w:tcW w:w="2300" w:type="dxa"/>
          </w:tcPr>
          <w:p>
            <w:r>
              <w:t xml:space="preserve">5 · Confused?</w:t>
            </w:r>
          </w:p>
        </w:tc>
        <w:tc>
          <w:tcPr>
            <w:tcW w:w="5400" w:type="dxa"/>
          </w:tcPr>
          <w:p>
            <w:r>
              <w:t xml:space="preserve">Take stickies nobody can place and break them into parts. Place each part.</w:t>
            </w:r>
          </w:p>
        </w:tc>
      </w:tr>
      <w:tr>
        <w:tc>
          <w:tcPr>
            <w:tcW w:w="1300" w:type="dxa"/>
          </w:tcPr>
          <w:p>
            <w:r>
              <w:t xml:space="preserve">35–55</w:t>
            </w:r>
          </w:p>
        </w:tc>
        <w:tc>
          <w:tcPr>
            <w:tcW w:w="2300" w:type="dxa"/>
          </w:tcPr>
          <w:p>
            <w:r>
              <w:t xml:space="preserve">6 · Our Approach</w:t>
            </w:r>
          </w:p>
        </w:tc>
        <w:tc>
          <w:tcPr>
            <w:tcW w:w="5400" w:type="dxa"/>
          </w:tcPr>
          <w:p>
            <w:r>
              <w:t xml:space="preserve">Pick the most important situation. Agree the domain, the approach and safe-to-fail experiments.</w:t>
            </w:r>
          </w:p>
        </w:tc>
      </w:tr>
      <w:tr>
        <w:tc>
          <w:tcPr>
            <w:tcW w:w="1300" w:type="dxa"/>
          </w:tcPr>
          <w:p>
            <w:r>
              <w:t xml:space="preserve">55–65</w:t>
            </w:r>
          </w:p>
        </w:tc>
        <w:tc>
          <w:tcPr>
            <w:tcW w:w="2300" w:type="dxa"/>
          </w:tcPr>
          <w:p>
            <w:r>
              <w:t xml:space="preserve">Signals</w:t>
            </w:r>
          </w:p>
        </w:tc>
        <w:tc>
          <w:tcPr>
            <w:tcW w:w="5400" w:type="dxa"/>
          </w:tcPr>
          <w:p>
            <w:r>
              <w:t xml:space="preserve">Agree what would show it's working, when to stop, and how to amplify or dampen.</w:t>
            </w:r>
          </w:p>
        </w:tc>
      </w:tr>
      <w:tr>
        <w:tc>
          <w:tcPr>
            <w:tcW w:w="1300" w:type="dxa"/>
          </w:tcPr>
          <w:p>
            <w:r>
              <w:t xml:space="preserve">65–75</w:t>
            </w:r>
          </w:p>
        </w:tc>
        <w:tc>
          <w:tcPr>
            <w:tcW w:w="2300" w:type="dxa"/>
          </w:tcPr>
          <w:p>
            <w:r>
              <w:t xml:space="preserve">Close</w:t>
            </w:r>
          </w:p>
        </w:tc>
        <w:tc>
          <w:tcPr>
            <w:tcW w:w="5400" w:type="dxa"/>
          </w:tcPr>
          <w:p>
            <w:r>
              <w:t xml:space="preserve">Note any situations that might be moving between domains, and set a revisit date.</w:t>
            </w:r>
          </w:p>
        </w:tc>
      </w:tr>
    </w:tbl>
    <w:p/>
    <w:p>
      <w:pPr>
        <w:pStyle w:val="Heading1"/>
      </w:pPr>
      <w:r>
        <w:t xml:space="preserve">Approach by domain</w:t>
      </w:r>
    </w:p>
    <w:p>
      <w:r>
        <w:t xml:space="preserve">Match the approach to the situation.</w:t>
      </w:r>
    </w:p>
    <w:p>
      <w:pPr>
        <w:pStyle w:val="Heading2"/>
      </w:pPr>
      <w:r>
        <w:t xml:space="preserve">Clear</w:t>
      </w:r>
    </w:p>
    <w:p>
      <w:pPr>
        <w:pStyle w:val="ListBullet"/>
        <w:numPr>
          <w:ilvl w:val="0"/>
          <w:numId w:val="1"/>
        </w:numPr>
      </w:pPr>
      <w:r>
        <w:t xml:space="preserve">Sense, categorise, respond</w:t>
      </w:r>
    </w:p>
    <w:p>
      <w:pPr>
        <w:pStyle w:val="ListBullet"/>
        <w:numPr>
          <w:ilvl w:val="0"/>
          <w:numId w:val="1"/>
        </w:numPr>
      </w:pPr>
      <w:r>
        <w:t xml:space="preserve">Follow the practice</w:t>
      </w:r>
    </w:p>
    <w:p>
      <w:pPr>
        <w:pStyle w:val="Heading2"/>
      </w:pPr>
      <w:r>
        <w:t xml:space="preserve">Complicated</w:t>
      </w:r>
    </w:p>
    <w:p>
      <w:pPr>
        <w:pStyle w:val="ListBullet"/>
        <w:numPr>
          <w:ilvl w:val="0"/>
          <w:numId w:val="1"/>
        </w:numPr>
      </w:pPr>
      <w:r>
        <w:t xml:space="preserve">Sense, analyse, respond</w:t>
      </w:r>
    </w:p>
    <w:p>
      <w:pPr>
        <w:pStyle w:val="ListBullet"/>
        <w:numPr>
          <w:ilvl w:val="0"/>
          <w:numId w:val="1"/>
        </w:numPr>
      </w:pPr>
      <w:r>
        <w:t xml:space="preserve">Ask the experts</w:t>
      </w:r>
    </w:p>
    <w:p>
      <w:pPr>
        <w:pStyle w:val="Heading2"/>
      </w:pPr>
      <w:r>
        <w:t xml:space="preserve">Complex</w:t>
      </w:r>
    </w:p>
    <w:p>
      <w:pPr>
        <w:pStyle w:val="ListBullet"/>
        <w:numPr>
          <w:ilvl w:val="0"/>
          <w:numId w:val="1"/>
        </w:numPr>
      </w:pPr>
      <w:r>
        <w:t xml:space="preserve">Probe, sense, respond</w:t>
      </w:r>
    </w:p>
    <w:p>
      <w:pPr>
        <w:pStyle w:val="ListBullet"/>
        <w:numPr>
          <w:ilvl w:val="0"/>
          <w:numId w:val="1"/>
        </w:numPr>
      </w:pPr>
      <w:r>
        <w:t xml:space="preserve">Safe-to-fail experiments</w:t>
      </w:r>
    </w:p>
    <w:p>
      <w:pPr>
        <w:pStyle w:val="Heading2"/>
      </w:pPr>
      <w:r>
        <w:t xml:space="preserve">Chaotic</w:t>
      </w:r>
    </w:p>
    <w:p>
      <w:pPr>
        <w:pStyle w:val="ListBullet"/>
        <w:numPr>
          <w:ilvl w:val="0"/>
          <w:numId w:val="1"/>
        </w:numPr>
      </w:pPr>
      <w:r>
        <w:t xml:space="preserve">Act, sense, respond</w:t>
      </w:r>
    </w:p>
    <w:p>
      <w:pPr>
        <w:pStyle w:val="ListBullet"/>
        <w:numPr>
          <w:ilvl w:val="0"/>
          <w:numId w:val="1"/>
        </w:numPr>
      </w:pPr>
      <w:r>
        <w:t xml:space="preserve">Stabilise first</w:t>
      </w:r>
    </w:p>
    <w:p>
      <w:pPr>
        <w:pStyle w:val="Heading2"/>
      </w:pPr>
      <w:r>
        <w:t xml:space="preserve">Confused</w:t>
      </w:r>
    </w:p>
    <w:p>
      <w:pPr>
        <w:pStyle w:val="ListBullet"/>
        <w:numPr>
          <w:ilvl w:val="0"/>
          <w:numId w:val="1"/>
        </w:numPr>
      </w:pPr>
      <w:r>
        <w:t xml:space="preserve">Not sure which</w:t>
      </w:r>
    </w:p>
    <w:p>
      <w:pPr>
        <w:pStyle w:val="ListBullet"/>
        <w:numPr>
          <w:ilvl w:val="0"/>
          <w:numId w:val="1"/>
        </w:numPr>
      </w:pPr>
      <w:r>
        <w:t xml:space="preserve">Break it into parts</w:t>
      </w:r>
    </w:p>
    <w:p>
      <w:pPr>
        <w:pStyle w:val="Heading1"/>
      </w:pPr>
      <w:r>
        <w:t xml:space="preserve">Facilitation tips</w:t>
      </w:r>
    </w:p>
    <w:p>
      <w:r>
        <w:rPr>
          <w:b/>
        </w:rPr>
        <w:t xml:space="preserve">Discuss the disagreements. </w:t>
      </w:r>
      <w:r>
        <w:t xml:space="preserve">When people place the same sticky in different domains, the conversation is the value.</w:t>
      </w:r>
    </w:p>
    <w:p>
      <w:r>
        <w:rPr>
          <w:b/>
        </w:rPr>
        <w:t xml:space="preserve">Most product work is complex. </w:t>
      </w:r>
      <w:r>
        <w:t xml:space="preserve">New products, markets and team changes rarely behave predictably. Experiment.</w:t>
      </w:r>
    </w:p>
    <w:p>
      <w:r>
        <w:rPr>
          <w:b/>
        </w:rPr>
        <w:t xml:space="preserve">Several experiments at once. </w:t>
      </w:r>
      <w:r>
        <w:t xml:space="preserve">In complex situations, run a few small, safe-to-fail probes in parallel.</w:t>
      </w:r>
    </w:p>
    <w:p>
      <w:r>
        <w:rPr>
          <w:b/>
        </w:rPr>
        <w:t xml:space="preserve">Beware the cliff. </w:t>
      </w:r>
      <w:r>
        <w:t xml:space="preserve">Clear situations can tip into chaos when people stop paying attention.</w:t>
      </w:r>
    </w:p>
    <w:p>
      <w:r>
        <w:rPr>
          <w:b/>
        </w:rPr>
        <w:t xml:space="preserve">Situations move. </w:t>
      </w:r>
      <w:r>
        <w:t xml:space="preserve">As you learn, complex problems can become complicated. Revisit the board.</w:t>
      </w:r>
    </w:p>
    <w:p>
      <w:r>
        <w:rPr>
          <w:b/>
        </w:rPr>
        <w:t xml:space="preserve">It's not a 2×2. </w:t>
      </w:r>
      <w:r>
        <w:t xml:space="preserve">The domains aren't a grid to score; use them to choose how to act.</w:t>
      </w:r>
    </w:p>
    <w:p>
      <w:r>
        <w:rPr>
          <w:b/>
        </w:rPr>
        <w:t xml:space="preserve">Common pitfalls: </w:t>
      </w:r>
      <w:r>
        <w:t xml:space="preserve">treating everything as complicated and writing a detailed plan; forcing every sticky into a domain; turning it into a classification argument; experiments that aren't safe to fail; never revisiting.</w:t>
      </w:r>
    </w:p>
    <w:p>
      <w:pPr>
        <w:pStyle w:val="Heading1"/>
      </w:pPr>
      <w:r>
        <w:t xml:space="preserve">After the session</w:t>
      </w:r>
    </w:p>
    <w:p>
      <w:r>
        <w:rPr>
          <w:b/>
        </w:rPr>
        <w:t xml:space="preserve">Straight away: </w:t>
      </w:r>
      <w:r>
        <w:t xml:space="preserve">Start the safe-to-fail experiments and share the board.</w:t>
      </w:r>
    </w:p>
    <w:p>
      <w:r>
        <w:rPr>
          <w:b/>
        </w:rPr>
        <w:t xml:space="preserve">At the revisit date: </w:t>
      </w:r>
      <w:r>
        <w:t xml:space="preserve">Check the signals, amplify what's working, dampen what isn't.</w:t>
      </w:r>
    </w:p>
    <w:p>
      <w:r>
        <w:rPr>
          <w:b/>
        </w:rPr>
        <w:t xml:space="preserve">Next planning: </w:t>
      </w:r>
      <w:r>
        <w:t xml:space="preserve">Use the domains to decide how much to plan up front for each piece of work.</w:t>
      </w:r>
    </w:p>
    <w:p>
      <w:r>
        <w:rPr>
          <w:b/>
        </w:rPr>
        <w:t xml:space="preserve">Go deeper: </w:t>
      </w:r>
      <w:r>
        <w:t xml:space="preserve">The Cynefin Company's own materials cover the full framework.</w:t>
      </w:r>
    </w:p>
    <w:p>
      <w:pPr>
        <w:pStyle w:val="Heading1"/>
      </w:pPr>
      <w:r>
        <w:t xml:space="preserve">How it fits the toolkit</w:t>
      </w:r>
    </w:p>
    <w:p>
      <w:r>
        <w:t xml:space="preserve">Use it with the </w:t>
      </w:r>
      <w:r>
        <w:t xml:space="preserve">1% Experiment Canvas</w:t>
      </w:r>
      <w:r>
        <w:t xml:space="preserve"> and </w:t>
      </w:r>
      <w:r>
        <w:t xml:space="preserve">Product Bet Canvas</w:t>
      </w:r>
      <w:r>
        <w:t xml:space="preserve"> for complex work, the </w:t>
      </w:r>
      <w:r>
        <w:t xml:space="preserve">Right-Size Your Structure</w:t>
      </w:r>
      <w:r>
        <w:t xml:space="preserve"> poster when deciding how much process a project needs, the </w:t>
      </w:r>
      <w:r>
        <w:t xml:space="preserve">Blameless Incident Review</w:t>
      </w:r>
      <w:r>
        <w:t xml:space="preserve"> after a chaotic event, and </w:t>
      </w:r>
      <w:r>
        <w:t xml:space="preserve">ADKAR Change Readiness</w:t>
      </w:r>
      <w:r>
        <w:t xml:space="preserve"> for planned change.</w:t>
      </w:r>
    </w:p>
    <w:p>
      <w:pPr>
        <w:pStyle w:val="Heading1"/>
      </w:pPr>
      <w:r>
        <w:t xml:space="preserve">Recreate it in your whiteboard</w:t>
      </w:r>
    </w:p>
    <w:p>
      <w:pPr>
        <w:pStyle w:val="Small"/>
      </w:pPr>
      <w:r>
        <w:t xml:space="preserve">Paste this into your whiteboard's AI assistant (for example Miro AI or Atlassian Rovo) or a general assistant, to get an editable, native version of the board. Results vary by tool, so expect to tidy it up. For an exact copy, import the SVG as a locked background instead.</w:t>
      </w:r>
    </w:p>
    <w:p>
      <w:r>
        <w:t xml:space="preserve">Create an editable whiteboard for “Cynefin® Sense-Making”, a workshop board.</w:t>
      </w:r>
    </w:p>
    <w:p>
      <w:r>
        <w:t xml:space="preserve">Purpose: Sort situations by how predictable they are, then choose an approach that fits: analyse, experiment, act or follow the rule.</w:t>
      </w:r>
    </w:p>
    <w:p>
      <w:r>
        <w:t xml:space="preserve">Layout: a wide landscape board (about 16:11). Make one frame per section below, placed as described. In each frame, add the section name as a heading, then its content as short text labels or empty fields to fill in. Leave space in each frame for sticky notes. Use the header colour given. Keep the wording as written and don't add extra content.</w:t>
      </w:r>
    </w:p>
    <w:p>
      <w:r>
        <w:t xml:space="preserve">Header fields to fill in: Topic, Date</w:t>
      </w:r>
    </w:p>
    <w:p>
      <w:r>
        <w:t xml:space="preserve">Sections:</w:t>
      </w:r>
    </w:p>
    <w:p>
      <w:r>
        <w:t xml:space="preserve">1. Complex: top left, about 35% wide and 50% tall.</w:t>
      </w:r>
    </w:p>
    <w:p>
      <w:r>
        <w:t xml:space="preserve">   Subtitle: Probe · sense · respond</w:t>
      </w:r>
    </w:p>
    <w:p>
      <w:r>
        <w:t xml:space="preserve">   Content: Cause and effect only make sense afterwards. · Run safe-to-fail experiments; amplify what works. · Practice: emergent · Things we can only learn by trying</w:t>
      </w:r>
    </w:p>
    <w:p>
      <w:r>
        <w:t xml:space="preserve">2. Complicated: top centre, about 35% wide and 50% tall.</w:t>
      </w:r>
    </w:p>
    <w:p>
      <w:r>
        <w:t xml:space="preserve">   Subtitle: Sense · analyse · respond</w:t>
      </w:r>
    </w:p>
    <w:p>
      <w:r>
        <w:t xml:space="preserve">   Content: Cause and effect can be found with analysis or · expertise. Ask the experts and weigh options. · Practice: good practice (more than one right answer) · Things experts can work out</w:t>
      </w:r>
    </w:p>
    <w:p>
      <w:r>
        <w:t xml:space="preserve">3. Confused? Split It Up: top right, about 35% wide and 35% tall; header colour slate grey.</w:t>
      </w:r>
    </w:p>
    <w:p>
      <w:r>
        <w:t xml:space="preserve">   Subtitle: The centre</w:t>
      </w:r>
    </w:p>
    <w:p>
      <w:r>
        <w:t xml:space="preserve">   Content: When you can't tell which domain you're in, you're · in confusion. People fall back on the approach they · like best. Break the situation into parts and place · each part in a domain. · Part 1: · Part 2: · Part 3: · Part 4:</w:t>
      </w:r>
    </w:p>
    <w:p>
      <w:r>
        <w:t xml:space="preserve">4. Our Approach: bottom right, about 35% wide and 60% tall; header colour dark green.</w:t>
      </w:r>
    </w:p>
    <w:p>
      <w:r>
        <w:t xml:space="preserve">   Subtitle: For the situation we chose</w:t>
      </w:r>
    </w:p>
    <w:p>
      <w:r>
        <w:t xml:space="preserve">   Content: Situation: · Main domain: · So we will: · Safe-to-fail experiments: · Signs it's working: · Signs to stop: · Amplify or dampen by: · Revisit on:</w:t>
      </w:r>
    </w:p>
    <w:p>
      <w:r>
        <w:t xml:space="preserve">5. Chaotic: bottom left, about 35% wide and 50% tall.</w:t>
      </w:r>
    </w:p>
    <w:p>
      <w:r>
        <w:t xml:space="preserve">   Subtitle: Act · sense · respond</w:t>
      </w:r>
    </w:p>
    <w:p>
      <w:r>
        <w:t xml:space="preserve">   Content: No visible cause and effect. Act first to · stabilise, then move the situation to complex. · Practice: novel · Crises needing action now</w:t>
      </w:r>
    </w:p>
    <w:p>
      <w:r>
        <w:t xml:space="preserve">6. Clear: bottom centre, about 35% wide and 50% tall.</w:t>
      </w:r>
    </w:p>
    <w:p>
      <w:r>
        <w:t xml:space="preserve">   Subtitle: Sense · categorise · respond</w:t>
      </w:r>
    </w:p>
    <w:p>
      <w:r>
        <w:t xml:space="preserve">   Content: Cause and effect are obvious to everyone. · Follow the agreed practice, but watch for complacency. · Practice: best practice · beware the cliff into chaos · Things with a known right answer</w:t>
      </w:r>
    </w:p>
    <w:p>
      <w:r>
        <w:t xml:space="preserve">Footer questions: “Are we treating a complex problem as if it were only complicated?” “What's the smallest safe-to-fail experiment we could run?”</w:t>
      </w:r>
    </w:p>
    <w:p>
      <w:r>
        <w:t xml:space="preserve">Original board for reference: https://eparker71.github.io/agile-ways-of-working/boards/cynefin-board.html</w:t>
      </w:r>
    </w:p>
    <w:p>
      <w:pPr>
        <w:pStyle w:val="Small"/>
      </w:pPr>
      <w:r>
        <w:t xml:space="preserve">Boards: https://eparker71.github.io/agile-ways-of-working/boards/cynefin-board.html  ·  Online guide: https://eparker71.github.io/agile-ways-of-working/guides/facilitator-guide-cynefin.html</w:t>
      </w:r>
    </w:p>
    <w:p>
      <w:pPr>
        <w:pStyle w:val="Small"/>
      </w:pPr>
      <w:r>
        <w:t xml:space="preserve">© 2026 Eric Parker · CC BY 4.0 · eparker71.github.io/agile-ways-of-working · Adapt it freely; please keep the credit and say what you changed.</w:t>
      </w:r>
    </w:p>
    <w:sectPr>
      <w:pgSz w:w="11906" w:h="16838"/>
      <w:pgMar w:top="1134" w:right="1134" w:bottom="1134" w:left="1134" w:header="567" w:footer="567" w:gutter="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lvl>
  </w:abstractNum>
  <w:num w:numId="1">
    <w:abstractNumId w:val="0"/>
  </w:num>
</w:numbering>
</file>

<file path=word/styles.xml><?xml version="1.0" encoding="utf-8"?>
<w:styles xmlns:w="http://schemas.openxmlformats.org/wordprocessingml/2006/main">
  <w:docDefaults>
    <w:rPrDefault>
      <w:rPr>
        <w:rFonts w:ascii="Calibri" w:hAnsi="Calibri" w:cs="Calibri"/>
        <w:sz w:val="21"/>
        <w:color w:val="1E293B"/>
      </w:rPr>
    </w:rPrDefault>
    <w:pPrDefault>
      <w:pPr>
        <w:spacing w:after="120" w:line="276" w:lineRule="auto"/>
      </w:pPr>
    </w:pPrDefault>
  </w:docDefaults>
  <w:style w:type="paragraph" w:default="1" w:styleId="Normal">
    <w:name w:val="Normal"/>
  </w:style>
  <w:style w:type="paragraph" w:styleId="Title">
    <w:name w:val="Title"/>
    <w:basedOn w:val="Normal"/>
    <w:next w:val="Normal"/>
    <w:pPr>
      <w:spacing w:after="60"/>
    </w:pPr>
    <w:rPr>
      <w:rFonts w:ascii="Georgia" w:hAnsi="Georgia"/>
      <w:sz w:val="48"/>
      <w:color w:val="0C1A2E"/>
    </w:rPr>
  </w:style>
  <w:style w:type="paragraph" w:styleId="Heading1">
    <w:name w:val="heading 1"/>
    <w:basedOn w:val="Normal"/>
    <w:next w:val="Normal"/>
    <w:pPr>
      <w:keepNext/>
      <w:spacing w:before="320" w:after="100"/>
      <w:outlineLvl w:val="0"/>
    </w:pPr>
    <w:rPr>
      <w:rFonts w:ascii="Georgia" w:hAnsi="Georgia"/>
      <w:sz w:val="32"/>
      <w:color w:val="0C1A2E"/>
    </w:rPr>
  </w:style>
  <w:style w:type="paragraph" w:styleId="Heading2">
    <w:name w:val="heading 2"/>
    <w:basedOn w:val="Normal"/>
    <w:next w:val="Normal"/>
    <w:pPr>
      <w:keepNext/>
      <w:spacing w:before="200" w:after="60"/>
      <w:outlineLvl w:val="1"/>
    </w:pPr>
    <w:rPr>
      <w:b/>
      <w:sz w:val="23"/>
      <w:color w:val="9A3412"/>
    </w:rPr>
  </w:style>
  <w:style w:type="paragraph" w:styleId="Quote">
    <w:name w:val="Quote"/>
    <w:basedOn w:val="Normal"/>
    <w:pPr>
      <w:ind w:left="284"/>
      <w:pBdr>
        <w:left w:val="single" w:sz="18" w:space="8" w:color="EB6C36"/>
      </w:pBdr>
    </w:pPr>
    <w:rPr>
      <w:rFonts w:ascii="Georgia" w:hAnsi="Georgia"/>
      <w:i/>
      <w:sz w:val="26"/>
    </w:rPr>
  </w:style>
  <w:style w:type="paragraph" w:styleId="ListBullet">
    <w:name w:val="List Bullet"/>
    <w:basedOn w:val="Normal"/>
    <w:pPr>
      <w:spacing w:after="40"/>
    </w:pPr>
  </w:style>
  <w:style w:type="paragraph" w:styleId="Small">
    <w:name w:val="Small"/>
    <w:basedOn w:val="Normal"/>
    <w:rPr>
      <w:sz w:val="17"/>
      <w:color w:val="64748B"/>
    </w:rPr>
  </w:style>
  <w:style w:type="table" w:styleId="TableGrid">
    <w:name w:val="Table Grid"/>
    <w:tblP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00" w:type="dxa"/>
        <w:bottom w:w="60" w:type="dxa"/>
        <w:right w:w="10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core.xml><?xml version="1.0" encoding="utf-8"?>
<cp:coreProperties xmlns:cp="http://schemas.openxmlformats.org/package/2006/metadata/core-properties" xmlns:dc="http://purl.org/dc/elements/1.1/" xmlns:dcterms="http://purl.org/dc/terms/" xmlns:xsi="http://www.w3.org/2001/XMLSchema-instance">
  <dc:title>Cynefin® Sense-Making Guide</dc:title>
  <dc:creator>Eric Parker</dc:creator>
</cp:coreProperties>
</file>