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20,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a laminated barcode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Retired with an active flag</w:t>
            </w:r>
          </w:p>
        </w:tc>
      </w:tr>
      <w:tr>
        <w:tc>
          <w:tcPr>
            <w:tcW w:w="2024" w:type="dxa"/>
          </w:tcPr>
          <w:p>
            <w:pPr/>
            <w:r>
              <w:t xml:space="preserve">StoreSettings</w:t>
            </w:r>
          </w:p>
        </w:tc>
        <w:tc>
          <w:tcPr>
            <w:tcW w:w="4082" w:type="dxa"/>
          </w:tcPr>
          <w:p>
            <w:pPr/>
            <w:r>
              <w:t xml:space="preserve">Rental price, late fee amount, store name</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in 12-digit form, because a 13-digit EAN that starts with 0 is the same product.</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saves the movie with its cast, genres, US rating and poster.</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card.</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One-page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UPCs stored as 12 digits;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one-page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