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28,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events, static readonly fields and constants (local ones too); camelCase for other locals and parameters; _camelCase for other private fields; an I prefix for interfaces; an Async suffix for async methods except tests, which follow TEST-6.</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 Once a write has committed, the steps that finish it run with CancellationToken.None, so a cancel never turns a done outcome into an exception (NET-12).</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 except the plain box Main shows when Rewind can't start, since there's no shell yet to show a dialog (OBS-5).</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 unless Checkout is what crashed.</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 and a handler's exception goes to DispatchExceptionAsync so the screen's ErrorBoundary catches it.</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Genres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 and a sale line copies its name too, so every line reads as it was rung up.</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four places. Each screen's ErrorBoundary, the ErrorBoundary around the whole shell and Application.ThreadException log, show the Windows 98 error dialog and return to Checkout, unless Checkout is what crashed: it then stays closed until the clerk presses an F-key. AppDomain.UnhandledException can only log: the process then ends, and the launcher restarts Rewind. Recovery never reopens what just crashed on its own, so a shell that crashes before it has started shuts Rewind down. Main catches a failure to start, such as a setting that fails validation: it logs it if the logger has started, shows the reason in a plain message box (UI-5) and exits with code 2, so the launcher leaves it down.</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docs/handbook/handbook.html, prints on both sides of one sheet with its own print styles, movie night on the front. It's written for the kids and changes whenever a screen does.</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  &lt;ItemGroup&gt;</w:t>
        <w:br/>
        <w:t xml:space="preserve">    &lt;AdditionalFiles Include="$(MSBuildThisFileDirectory)BannedSymbols.txt" /&gt;</w:t>
        <w:br/>
        <w:t xml:space="preserve">  &lt;/ItemGroup&gt;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BannedSymbols.txt lists the APIs that NET-6 and NET-8 forbid, such as DateTime.Now and Task.Result, and the BannedApiAnalyzers package fails the build wherever one is used.</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pStyle w:val="ListParagraph"/>
        <w:numPr>
          <w:ilvl w:val="0"/>
          <w:numId w:val="15"/>
        </w:numPr>
      </w:pPr>
      <w:r>
        <w:t xml:space="preserve">Pull request title: a Conventional Commit, since squash-merging makes it main's commit message (GIT-3, GIT-5).</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and sale-line names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