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28,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the barcodes on a laminated concession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Name and 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Barcode unique; retired with an active flag</w:t>
            </w:r>
          </w:p>
        </w:tc>
      </w:tr>
      <w:tr>
        <w:tc>
          <w:tcPr>
            <w:tcW w:w="2024" w:type="dxa"/>
          </w:tcPr>
          <w:p>
            <w:pPr/>
            <w:r>
              <w:t xml:space="preserve">StoreSettings</w:t>
            </w:r>
          </w:p>
        </w:tc>
        <w:tc>
          <w:tcPr>
            <w:tcW w:w="4082" w:type="dxa"/>
          </w:tcPr>
          <w:p>
            <w:pPr/>
            <w:r>
              <w:t xml:space="preserve">Rental price, late fee amount, store name, and the next store label and member card numbers</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Genres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as 12 or 13 digits: a 13-digit EAN that starts with 0 is the same product as a 12-digit UPC-A, so it's saved in that form.</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fetches the movie with its cast, genres, US rating and poster, and saves them with the case at step 7.</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menu.</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Two-sided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a 13-digit EAN that starts with 0 stored as its 12-digit UPC-A;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the scanner unplugged mid-screen and plugged back in,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two-sided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