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ANEXO 2. MINUTA DE OFERTA MERCANTIL</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CP-BIAC2025-002</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5">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7">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9">
      <w:pPr>
        <w:numPr>
          <w:ilvl w:val="0"/>
          <w:numId w:val="1"/>
        </w:numPr>
        <w:spacing w:after="240" w:before="240" w:line="240" w:lineRule="auto"/>
        <w:ind w:left="720"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Objeto </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i w:val="1"/>
          <w:sz w:val="24"/>
          <w:szCs w:val="24"/>
          <w:rtl w:val="0"/>
        </w:rPr>
        <w:t xml:space="preserve">pague lo contratado</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1 de la presente oferta ,a cambio de una contraprestación económica o precio.</w:t>
      </w:r>
    </w:p>
    <w:p w:rsidR="00000000" w:rsidDel="00000000" w:rsidP="00000000" w:rsidRDefault="00000000" w:rsidRPr="00000000" w14:paraId="0000000B">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C">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Parágrafo.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D">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Periodo de suministro</w:t>
      </w:r>
    </w:p>
    <w:p w:rsidR="00000000" w:rsidDel="00000000" w:rsidP="00000000" w:rsidRDefault="00000000" w:rsidRPr="00000000" w14:paraId="0000000E">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F">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10">
      <w:pPr>
        <w:widowControl w:val="0"/>
        <w:numPr>
          <w:ilvl w:val="0"/>
          <w:numId w:val="1"/>
        </w:numPr>
        <w:spacing w:after="0" w:before="235" w:line="231" w:lineRule="auto"/>
        <w:ind w:left="720" w:right="-76"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Precio de la energía</w:t>
      </w:r>
      <w:r w:rsidDel="00000000" w:rsidR="00000000" w:rsidRPr="00000000">
        <w:rPr>
          <w:rtl w:val="0"/>
        </w:rPr>
      </w:r>
    </w:p>
    <w:p w:rsidR="00000000" w:rsidDel="00000000" w:rsidP="00000000" w:rsidRDefault="00000000" w:rsidRPr="00000000" w14:paraId="00000011">
      <w:pPr>
        <w:widowControl w:val="0"/>
        <w:spacing w:after="0" w:before="235" w:line="231" w:lineRule="auto"/>
        <w:ind w:right="-76"/>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febrero de 2025 por kWh, es el indicado en el Anexo No. 1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12">
      <w:pPr>
        <w:widowControl w:val="0"/>
        <w:spacing w:after="0" w:before="235"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3">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4">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5">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6">
      <w:pPr>
        <w:widowControl w:val="0"/>
        <w:spacing w:after="0" w:before="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febrero de 2025.  </w:t>
      </w:r>
    </w:p>
    <w:p w:rsidR="00000000" w:rsidDel="00000000" w:rsidP="00000000" w:rsidRDefault="00000000" w:rsidRPr="00000000" w14:paraId="00000017">
      <w:pPr>
        <w:widowControl w:val="0"/>
        <w:spacing w:after="0" w:before="2"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w:t>
        <w:br w:type="textWrapping"/>
        <w:t xml:space="preserve">Precio m: Precio a liquidar en el mes de suministro, este precio estará redondeado a dos cifras decimales. </w:t>
      </w:r>
    </w:p>
    <w:p w:rsidR="00000000" w:rsidDel="00000000" w:rsidP="00000000" w:rsidRDefault="00000000" w:rsidRPr="00000000" w14:paraId="00000018">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9">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Forma de pago</w:t>
      </w:r>
    </w:p>
    <w:p w:rsidR="00000000" w:rsidDel="00000000" w:rsidP="00000000" w:rsidRDefault="00000000" w:rsidRPr="00000000" w14:paraId="0000001A">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C">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jc w:val="center"/>
                  <w:rPr>
                    <w:rFonts w:ascii="Cambria" w:cs="Cambria" w:eastAsia="Cambria" w:hAnsi="Cambria"/>
                    <w:i w:val="1"/>
                    <w:sz w:val="24"/>
                    <w:szCs w:val="24"/>
                  </w:rPr>
                </w:pPr>
                <w:r w:rsidDel="00000000" w:rsidR="00000000" w:rsidRPr="00000000">
                  <w:rPr>
                    <w:rtl w:val="0"/>
                  </w:rPr>
                </w:r>
              </w:p>
            </w:tc>
          </w:tr>
        </w:tbl>
      </w:sdtContent>
    </w:sdt>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7">
      <w:pPr>
        <w:widowControl w:val="0"/>
        <w:spacing w:after="0"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widowControl w:val="0"/>
        <w:numPr>
          <w:ilvl w:val="0"/>
          <w:numId w:val="1"/>
        </w:numPr>
        <w:spacing w:after="0"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Facturación</w:t>
      </w:r>
    </w:p>
    <w:p w:rsidR="00000000" w:rsidDel="00000000" w:rsidP="00000000" w:rsidRDefault="00000000" w:rsidRPr="00000000" w14:paraId="00000029">
      <w:pPr>
        <w:widowControl w:val="0"/>
        <w:spacing w:after="0" w:line="230" w:lineRule="auto"/>
        <w:ind w:right="-76"/>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A">
      <w:pPr>
        <w:widowControl w:val="0"/>
        <w:spacing w:after="0"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B">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C">
      <w:pPr>
        <w:widowControl w:val="0"/>
        <w:spacing w:after="0" w:line="231"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D">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E">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F">
      <w:pPr>
        <w:widowControl w:val="0"/>
        <w:spacing w:after="0" w:before="23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30">
      <w:pPr>
        <w:widowControl w:val="0"/>
        <w:spacing w:after="0" w:before="233" w:line="23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1">
      <w:pPr>
        <w:widowControl w:val="0"/>
        <w:spacing w:after="0" w:before="233"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2">
      <w:pPr>
        <w:widowControl w:val="0"/>
        <w:numPr>
          <w:ilvl w:val="0"/>
          <w:numId w:val="1"/>
        </w:numPr>
        <w:spacing w:after="0" w:before="236" w:line="230" w:lineRule="auto"/>
        <w:ind w:left="720" w:right="-7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 o mecanismos de cobertura</w:t>
      </w:r>
    </w:p>
    <w:p w:rsidR="00000000" w:rsidDel="00000000" w:rsidP="00000000" w:rsidRDefault="00000000" w:rsidRPr="00000000" w14:paraId="00000033">
      <w:pPr>
        <w:widowControl w:val="0"/>
        <w:spacing w:after="0" w:before="236"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4">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en físico que contemplen los elementos previstos en el Anexo No. 2,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en físico a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w:t>
      </w:r>
    </w:p>
    <w:p w:rsidR="00000000" w:rsidDel="00000000" w:rsidP="00000000" w:rsidRDefault="00000000" w:rsidRPr="00000000" w14:paraId="00000035">
      <w:pPr>
        <w:widowControl w:val="0"/>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rsidR="00000000" w:rsidDel="00000000" w:rsidP="00000000" w:rsidRDefault="00000000" w:rsidRPr="00000000" w14:paraId="0000003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5%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3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C">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D">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3E">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3F">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0">
      <w:pPr>
        <w:widowControl w:val="0"/>
        <w:shd w:fill="ffffff" w:val="clear"/>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41">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entregará a </w:t>
      </w:r>
      <w:r w:rsidDel="00000000" w:rsidR="00000000" w:rsidRPr="00000000">
        <w:rPr>
          <w:rFonts w:ascii="Cambria" w:cs="Cambria" w:eastAsia="Cambria" w:hAnsi="Cambria"/>
          <w:color w:val="ff0000"/>
          <w:sz w:val="24"/>
          <w:szCs w:val="24"/>
          <w:rtl w:val="0"/>
        </w:rPr>
        <w:t xml:space="preserve">[RAZÓN SOCIAL]</w:t>
      </w:r>
      <w:r w:rsidDel="00000000" w:rsidR="00000000" w:rsidRPr="00000000">
        <w:rPr>
          <w:rFonts w:ascii="Cambria" w:cs="Cambria" w:eastAsia="Cambria" w:hAnsi="Cambria"/>
          <w:sz w:val="24"/>
          <w:szCs w:val="24"/>
          <w:rtl w:val="0"/>
        </w:rPr>
        <w:t xml:space="preserve"> un pagaré en blanco con su carta de instrucciones, ambos documentos en físico, que contemple los elementos previstos en el Anexo No. 2 dentro de los diez (10) días hábiles siguientes a la emisión de la orden de compra. </w:t>
      </w:r>
    </w:p>
    <w:p w:rsidR="00000000" w:rsidDel="00000000" w:rsidP="00000000" w:rsidRDefault="00000000" w:rsidRPr="00000000" w14:paraId="00000042">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sz w:val="24"/>
          <w:szCs w:val="24"/>
          <w:rtl w:val="0"/>
        </w:rPr>
        <w:t xml:space="preserve">OFERENTE ADJUDICADO </w:t>
      </w:r>
      <w:r w:rsidDel="00000000" w:rsidR="00000000" w:rsidRPr="00000000">
        <w:rPr>
          <w:rFonts w:ascii="Cambria" w:cs="Cambria" w:eastAsia="Cambria" w:hAnsi="Cambria"/>
          <w:sz w:val="24"/>
          <w:szCs w:val="24"/>
          <w:rtl w:val="0"/>
        </w:rPr>
        <w:t xml:space="preserve">una garantía bancaria o póliza de seguro de pago, con las siguientes condiciones específicas:</w:t>
      </w:r>
    </w:p>
    <w:p w:rsidR="00000000" w:rsidDel="00000000" w:rsidP="00000000" w:rsidRDefault="00000000" w:rsidRPr="00000000" w14:paraId="00000044">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o póliza de seguros deberá incluir los perjuicios derivados del incumplimiento en la obligación de pago de la energía contratada. </w:t>
      </w:r>
    </w:p>
    <w:p w:rsidR="00000000" w:rsidDel="00000000" w:rsidP="00000000" w:rsidRDefault="00000000" w:rsidRPr="00000000" w14:paraId="0000004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equivalente a 2.5 veces el suministro mensual promedio de energía aceptada del periodo o año a garantizar.</w:t>
      </w:r>
    </w:p>
    <w:p w:rsidR="00000000" w:rsidDel="00000000" w:rsidP="00000000" w:rsidRDefault="00000000" w:rsidRPr="00000000" w14:paraId="0000004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4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w:t>
      </w:r>
    </w:p>
    <w:p w:rsidR="00000000" w:rsidDel="00000000" w:rsidP="00000000" w:rsidRDefault="00000000" w:rsidRPr="00000000" w14:paraId="0000004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4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o póliza de seguros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4C">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celebración del contrato o la CREG o cualquier autoridad competente, expida regulación asociada al cumplimiento de la relación jurídica surgida de esta oferta que afecte el cumplimiento, el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p>
    <w:p w:rsidR="00000000" w:rsidDel="00000000" w:rsidP="00000000" w:rsidRDefault="00000000" w:rsidRPr="00000000" w14:paraId="0000004E">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2">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3">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Condición suspensiva</w:t>
      </w:r>
    </w:p>
    <w:p w:rsidR="00000000" w:rsidDel="00000000" w:rsidP="00000000" w:rsidRDefault="00000000" w:rsidRPr="00000000" w14:paraId="00000054">
      <w:pPr>
        <w:keepNext w:val="1"/>
        <w:keepLines w:val="1"/>
        <w:spacing w:after="240" w:before="240" w:lineRule="auto"/>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perfeccionamiento jurídico de la oferta está sujeto a la condición suspensiva del registro del Negocio Jurídico de acuerdo con lo previsto en la Sección XXIV de la presente oferta.</w:t>
      </w:r>
      <w:r w:rsidDel="00000000" w:rsidR="00000000" w:rsidRPr="00000000">
        <w:rPr>
          <w:rtl w:val="0"/>
        </w:rPr>
      </w:r>
    </w:p>
    <w:p w:rsidR="00000000" w:rsidDel="00000000" w:rsidP="00000000" w:rsidRDefault="00000000" w:rsidRPr="00000000" w14:paraId="00000055">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Incumplimiento y estimación anticipada de perjuicios</w:t>
      </w:r>
    </w:p>
    <w:p w:rsidR="00000000" w:rsidDel="00000000" w:rsidP="00000000" w:rsidRDefault="00000000" w:rsidRPr="00000000" w14:paraId="00000056">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7">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1, incluyendo un IPP con un crecimiento anual del 3%. Este valor podrá ser cobrado por la vía ejecutiva con base en la declaración que haga sobre el incumplimiento.</w:t>
      </w:r>
    </w:p>
    <w:p w:rsidR="00000000" w:rsidDel="00000000" w:rsidP="00000000" w:rsidRDefault="00000000" w:rsidRPr="00000000" w14:paraId="00000058">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59">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5A">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5B">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5C">
      <w:pPr>
        <w:widowControl w:val="0"/>
        <w:spacing w:after="0" w:before="228"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5D">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Terminación anticipada del Negocio Jurídico</w:t>
      </w:r>
    </w:p>
    <w:p w:rsidR="00000000" w:rsidDel="00000000" w:rsidP="00000000" w:rsidRDefault="00000000" w:rsidRPr="00000000" w14:paraId="0000005E">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Contrato,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5F">
      <w:pPr>
        <w:widowControl w:val="0"/>
        <w:spacing w:after="0" w:before="235"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60">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Cesión</w:t>
      </w:r>
    </w:p>
    <w:p w:rsidR="00000000" w:rsidDel="00000000" w:rsidP="00000000" w:rsidRDefault="00000000" w:rsidRPr="00000000" w14:paraId="00000061">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2">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3">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5">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6">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contrato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67">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8">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contrato, o cuando se encuentre en causales de retiro del mercado como agente que impliquen el incumplimiento del contrato,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69">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widowControl w:val="0"/>
        <w:spacing w:after="0" w:line="231" w:lineRule="auto"/>
        <w:ind w:left="-90" w:right="-76" w:firstLine="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color w:val="444746"/>
          <w:sz w:val="24"/>
          <w:szCs w:val="24"/>
          <w:rtl w:val="0"/>
        </w:rPr>
        <w:t xml:space="preserve">.</w:t>
      </w:r>
    </w:p>
    <w:p w:rsidR="00000000" w:rsidDel="00000000" w:rsidP="00000000" w:rsidRDefault="00000000" w:rsidRPr="00000000" w14:paraId="0000006B">
      <w:pPr>
        <w:widowControl w:val="0"/>
        <w:spacing w:after="0" w:line="231" w:lineRule="auto"/>
        <w:ind w:left="-90" w:right="-76" w:firstLine="0"/>
        <w:jc w:val="both"/>
        <w:rPr>
          <w:rFonts w:ascii="Cambria" w:cs="Cambria" w:eastAsia="Cambria" w:hAnsi="Cambria"/>
          <w:b w:val="1"/>
          <w:color w:val="444746"/>
          <w:sz w:val="24"/>
          <w:szCs w:val="24"/>
        </w:rPr>
      </w:pPr>
      <w:r w:rsidDel="00000000" w:rsidR="00000000" w:rsidRPr="00000000">
        <w:rPr>
          <w:rtl w:val="0"/>
        </w:rPr>
      </w:r>
    </w:p>
    <w:p w:rsidR="00000000" w:rsidDel="00000000" w:rsidP="00000000" w:rsidRDefault="00000000" w:rsidRPr="00000000" w14:paraId="0000006C">
      <w:pPr>
        <w:widowControl w:val="0"/>
        <w:numPr>
          <w:ilvl w:val="0"/>
          <w:numId w:val="1"/>
        </w:numPr>
        <w:spacing w:after="0" w:before="233" w:line="231" w:lineRule="auto"/>
        <w:ind w:left="720" w:right="-76" w:hanging="36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6D">
      <w:pPr>
        <w:widowControl w:val="0"/>
        <w:spacing w:after="0" w:before="233"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6E">
      <w:pPr>
        <w:widowControl w:val="0"/>
        <w:spacing w:after="0" w:before="233" w:line="231" w:lineRule="auto"/>
        <w:ind w:right="-7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Solución de controversias</w:t>
      </w:r>
    </w:p>
    <w:p w:rsidR="00000000" w:rsidDel="00000000" w:rsidP="00000000" w:rsidRDefault="00000000" w:rsidRPr="00000000" w14:paraId="00000070">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71">
      <w:pPr>
        <w:widowControl w:val="0"/>
        <w:spacing w:after="0" w:before="233"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72">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3">
      <w:pPr>
        <w:widowControl w:val="0"/>
        <w:spacing w:after="0" w:before="235" w:line="23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4">
      <w:pPr>
        <w:widowControl w:val="0"/>
        <w:spacing w:after="0" w:before="235" w:line="230" w:lineRule="auto"/>
        <w:ind w:right="-76"/>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5">
      <w:pPr>
        <w:widowControl w:val="0"/>
        <w:numPr>
          <w:ilvl w:val="0"/>
          <w:numId w:val="1"/>
        </w:numPr>
        <w:spacing w:after="0" w:before="235"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Liquidación</w:t>
      </w:r>
    </w:p>
    <w:p w:rsidR="00000000" w:rsidDel="00000000" w:rsidP="00000000" w:rsidRDefault="00000000" w:rsidRPr="00000000" w14:paraId="00000076">
      <w:pPr>
        <w:widowControl w:val="0"/>
        <w:spacing w:after="0" w:before="236" w:line="23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77">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Legislación aplicable</w:t>
      </w:r>
      <w:r w:rsidDel="00000000" w:rsidR="00000000" w:rsidRPr="00000000">
        <w:rPr>
          <w:rtl w:val="0"/>
        </w:rPr>
      </w:r>
    </w:p>
    <w:p w:rsidR="00000000" w:rsidDel="00000000" w:rsidP="00000000" w:rsidRDefault="00000000" w:rsidRPr="00000000" w14:paraId="00000078">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79">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contrato, será asumida por la Parte sobre la cual recaiga según la ley. </w:t>
      </w:r>
    </w:p>
    <w:p w:rsidR="00000000" w:rsidDel="00000000" w:rsidP="00000000" w:rsidRDefault="00000000" w:rsidRPr="00000000" w14:paraId="0000007A">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7B">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7C">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7D">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Protección de datos personales </w:t>
      </w:r>
    </w:p>
    <w:p w:rsidR="00000000" w:rsidDel="00000000" w:rsidP="00000000" w:rsidRDefault="00000000" w:rsidRPr="00000000" w14:paraId="0000007F">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80">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8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Origen de ingresos</w:t>
      </w:r>
    </w:p>
    <w:p w:rsidR="00000000" w:rsidDel="00000000" w:rsidP="00000000" w:rsidRDefault="00000000" w:rsidRPr="00000000" w14:paraId="00000083">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rsidR="00000000" w:rsidDel="00000000" w:rsidP="00000000" w:rsidRDefault="00000000" w:rsidRPr="00000000" w14:paraId="00000084">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5">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Cumplimiento de normatividad anticorrupción y prevención de lavado de activos</w:t>
      </w:r>
    </w:p>
    <w:p w:rsidR="00000000" w:rsidDel="00000000" w:rsidP="00000000" w:rsidRDefault="00000000" w:rsidRPr="00000000" w14:paraId="00000086">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rsidR="00000000" w:rsidDel="00000000" w:rsidP="00000000" w:rsidRDefault="00000000" w:rsidRPr="00000000" w14:paraId="00000087">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88">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rsidR="00000000" w:rsidDel="00000000" w:rsidP="00000000" w:rsidRDefault="00000000" w:rsidRPr="00000000" w14:paraId="00000089">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Tributos</w:t>
      </w:r>
    </w:p>
    <w:p w:rsidR="00000000" w:rsidDel="00000000" w:rsidP="00000000" w:rsidRDefault="00000000" w:rsidRPr="00000000" w14:paraId="0000008B">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al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w:t>
      </w:r>
    </w:p>
    <w:p w:rsidR="00000000" w:rsidDel="00000000" w:rsidP="00000000" w:rsidRDefault="00000000" w:rsidRPr="00000000" w14:paraId="0000008C">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D">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Conflicto de interés</w:t>
      </w:r>
    </w:p>
    <w:p w:rsidR="00000000" w:rsidDel="00000000" w:rsidP="00000000" w:rsidRDefault="00000000" w:rsidRPr="00000000" w14:paraId="0000008E">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8F">
      <w:pPr>
        <w:widowControl w:val="0"/>
        <w:spacing w:after="0" w:before="235" w:line="230" w:lineRule="auto"/>
        <w:ind w:right="-7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Respeto a los derechos humanos</w:t>
      </w:r>
    </w:p>
    <w:p w:rsidR="00000000" w:rsidDel="00000000" w:rsidP="00000000" w:rsidRDefault="00000000" w:rsidRPr="00000000" w14:paraId="00000091">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92">
      <w:pPr>
        <w:widowControl w:val="0"/>
        <w:spacing w:after="0" w:before="235" w:line="230" w:lineRule="auto"/>
        <w:ind w:right="-7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Remisión a pliegos de condiciones</w:t>
      </w:r>
    </w:p>
    <w:p w:rsidR="00000000" w:rsidDel="00000000" w:rsidP="00000000" w:rsidRDefault="00000000" w:rsidRPr="00000000" w14:paraId="00000094">
      <w:pPr>
        <w:widowControl w:val="0"/>
        <w:spacing w:after="0" w:before="236"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95">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Validez de la oferta</w:t>
      </w:r>
    </w:p>
    <w:p w:rsidR="00000000" w:rsidDel="00000000" w:rsidP="00000000" w:rsidRDefault="00000000" w:rsidRPr="00000000" w14:paraId="00000096">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25 de junio de 2025, fecha al cabo de la cual si BIA ENERGY no ha adjudicado y emitido la correspondiente orden de compra, se entenderá rechazada.</w:t>
      </w:r>
    </w:p>
    <w:p w:rsidR="00000000" w:rsidDel="00000000" w:rsidP="00000000" w:rsidRDefault="00000000" w:rsidRPr="00000000" w14:paraId="00000097">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Aceptación de la oferta</w:t>
      </w:r>
    </w:p>
    <w:p w:rsidR="00000000" w:rsidDel="00000000" w:rsidP="00000000" w:rsidRDefault="00000000" w:rsidRPr="00000000" w14:paraId="00000099">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implicará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9A">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suscritos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9B">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Registro del Negocio Jurídico</w:t>
      </w:r>
    </w:p>
    <w:p w:rsidR="00000000" w:rsidDel="00000000" w:rsidP="00000000" w:rsidRDefault="00000000" w:rsidRPr="00000000" w14:paraId="0000009C">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Contrato,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1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9D">
      <w:pPr>
        <w:widowControl w:val="0"/>
        <w:spacing w:after="0" w:before="236" w:line="230" w:lineRule="auto"/>
        <w:ind w:right="-7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Comunicaciones y notificaciones</w:t>
      </w:r>
    </w:p>
    <w:p w:rsidR="00000000" w:rsidDel="00000000" w:rsidP="00000000" w:rsidRDefault="00000000" w:rsidRPr="00000000" w14:paraId="0000009F">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A0">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A1">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A2">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A3">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A4">
      <w:pPr>
        <w:shd w:fill="ffffff" w:val="clear"/>
        <w:spacing w:after="0" w:line="252.00000000000003" w:lineRule="auto"/>
        <w:jc w:val="both"/>
        <w:rPr>
          <w:rFonts w:ascii="Cambria" w:cs="Cambria" w:eastAsia="Cambria" w:hAnsi="Cambria"/>
          <w:i w:val="1"/>
          <w:color w:val="222222"/>
          <w:sz w:val="24"/>
          <w:szCs w:val="24"/>
        </w:rPr>
      </w:pPr>
      <w:r w:rsidDel="00000000" w:rsidR="00000000" w:rsidRPr="00000000">
        <w:rPr>
          <w:rtl w:val="0"/>
        </w:rPr>
      </w:r>
    </w:p>
    <w:p w:rsidR="00000000" w:rsidDel="00000000" w:rsidP="00000000" w:rsidRDefault="00000000" w:rsidRPr="00000000" w14:paraId="000000A5">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Compromiso en contra del trabajo infantil y condiciones de trabajo forzoso</w:t>
      </w:r>
    </w:p>
    <w:p w:rsidR="00000000" w:rsidDel="00000000" w:rsidP="00000000" w:rsidRDefault="00000000" w:rsidRPr="00000000" w14:paraId="000000A6">
      <w:pPr>
        <w:shd w:fill="ffffff" w:val="clear"/>
        <w:spacing w:after="0" w:line="252.00000000000003"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hd w:fill="ffffff" w:val="clear"/>
        <w:spacing w:after="0" w:line="252.00000000000003"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A8">
      <w:pPr>
        <w:shd w:fill="ffffff" w:val="clear"/>
        <w:spacing w:after="0" w:line="252.00000000000003"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9">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Buenas prácticas en temas de salud y seguridad en el trabajo.</w:t>
      </w:r>
    </w:p>
    <w:p w:rsidR="00000000" w:rsidDel="00000000" w:rsidP="00000000" w:rsidRDefault="00000000" w:rsidRPr="00000000" w14:paraId="000000AA">
      <w:pPr>
        <w:shd w:fill="ffffff" w:val="clear"/>
        <w:spacing w:after="0" w:line="252.00000000000003"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hd w:fill="ffffff" w:val="clear"/>
        <w:spacing w:after="0" w:line="252.00000000000003"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A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A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A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B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ANEXO No. 1 OFERTA MERCANTIL - CANTIDADES Y PRECIOS</w:t>
      </w:r>
      <w:r w:rsidDel="00000000" w:rsidR="00000000" w:rsidRPr="00000000">
        <w:rPr>
          <w:rtl w:val="0"/>
        </w:rPr>
      </w:r>
    </w:p>
    <w:p w:rsidR="00000000" w:rsidDel="00000000" w:rsidP="00000000" w:rsidRDefault="00000000" w:rsidRPr="00000000" w14:paraId="000000B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after="0" w:line="240" w:lineRule="auto"/>
        <w:ind w:left="-90" w:right="-76" w:firstLine="0"/>
        <w:jc w:val="both"/>
        <w:rPr>
          <w:rFonts w:ascii="Cambria" w:cs="Cambria" w:eastAsia="Cambria" w:hAnsi="Cambria"/>
          <w:sz w:val="24"/>
          <w:szCs w:val="24"/>
          <w:highlight w:val="yellow"/>
        </w:rPr>
      </w:pPr>
      <w:r w:rsidDel="00000000" w:rsidR="00000000" w:rsidRPr="00000000">
        <w:rPr>
          <w:rtl w:val="0"/>
        </w:rPr>
      </w:r>
    </w:p>
    <w:sdt>
      <w:sdtPr>
        <w:lock w:val="contentLocked"/>
        <w:tag w:val="goog_rdk_1"/>
      </w:sdtPr>
      <w:sdtContent>
        <w:tbl>
          <w:tblPr>
            <w:tblStyle w:val="Table2"/>
            <w:tblpPr w:leftFromText="180" w:rightFromText="180" w:topFromText="180" w:bottomFromText="180" w:vertAnchor="text" w:horzAnchor="text" w:tblpX="-90" w:tblpY="0"/>
            <w:tblW w:w="7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325"/>
            <w:gridCol w:w="3195"/>
            <w:tblGridChange w:id="0">
              <w:tblGrid>
                <w:gridCol w:w="2070"/>
                <w:gridCol w:w="2325"/>
                <w:gridCol w:w="3195"/>
              </w:tblGrid>
            </w:tblGridChange>
          </w:tblGrid>
          <w:tr>
            <w:trPr>
              <w:cantSplit w:val="0"/>
              <w:tblHeader w:val="0"/>
            </w:trPr>
            <w:tc>
              <w:tcPr>
                <w:vAlign w:val="center"/>
              </w:tcPr>
              <w:p w:rsidR="00000000" w:rsidDel="00000000" w:rsidP="00000000" w:rsidRDefault="00000000" w:rsidRPr="00000000" w14:paraId="000000BC">
                <w:pPr>
                  <w:widowControl w:val="0"/>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Mes</w:t>
                </w:r>
              </w:p>
            </w:tc>
            <w:tc>
              <w:tcPr>
                <w:vAlign w:val="center"/>
              </w:tcPr>
              <w:p w:rsidR="00000000" w:rsidDel="00000000" w:rsidP="00000000" w:rsidRDefault="00000000" w:rsidRPr="00000000" w14:paraId="000000BD">
                <w:pPr>
                  <w:widowControl w:val="0"/>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Cantidad kWh</w:t>
                </w:r>
              </w:p>
            </w:tc>
            <w:tc>
              <w:tcPr>
                <w:vAlign w:val="center"/>
              </w:tcPr>
              <w:p w:rsidR="00000000" w:rsidDel="00000000" w:rsidP="00000000" w:rsidRDefault="00000000" w:rsidRPr="00000000" w14:paraId="000000BE">
                <w:pPr>
                  <w:widowControl w:val="0"/>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Precio en $/kWh constantes con mes base provisional de febrero de 2025</w:t>
                </w:r>
              </w:p>
            </w:tc>
          </w:tr>
          <w:tr>
            <w:trPr>
              <w:cantSplit w:val="0"/>
              <w:tblHeader w:val="0"/>
            </w:trPr>
            <w:tc>
              <w:tcPr/>
              <w:p w:rsidR="00000000" w:rsidDel="00000000" w:rsidP="00000000" w:rsidRDefault="00000000" w:rsidRPr="00000000" w14:paraId="000000BF">
                <w:pPr>
                  <w:widowControl w:val="0"/>
                  <w:spacing w:after="0" w:line="240" w:lineRule="auto"/>
                  <w:jc w:val="center"/>
                  <w:rPr>
                    <w:rFonts w:ascii="Cambria" w:cs="Cambria" w:eastAsia="Cambria" w:hAnsi="Cambria"/>
                    <w:color w:val="ff0000"/>
                    <w:sz w:val="24"/>
                    <w:szCs w:val="24"/>
                  </w:rPr>
                </w:pPr>
                <w:r w:rsidDel="00000000" w:rsidR="00000000" w:rsidRPr="00000000">
                  <w:rPr>
                    <w:rFonts w:ascii="Cambria" w:cs="Cambria" w:eastAsia="Cambria" w:hAnsi="Cambria"/>
                    <w:color w:val="ff0000"/>
                    <w:sz w:val="24"/>
                    <w:szCs w:val="24"/>
                    <w:rtl w:val="0"/>
                  </w:rPr>
                  <w:t xml:space="preserve">XXXXXX</w:t>
                </w:r>
              </w:p>
            </w:tc>
            <w:tc>
              <w:tcPr/>
              <w:p w:rsidR="00000000" w:rsidDel="00000000" w:rsidP="00000000" w:rsidRDefault="00000000" w:rsidRPr="00000000" w14:paraId="000000C0">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1">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C2">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3">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4">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C5">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6">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7">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9">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A">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CB">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C">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D">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CF">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D0">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D2">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c>
              <w:tcPr/>
              <w:p w:rsidR="00000000" w:rsidDel="00000000" w:rsidP="00000000" w:rsidRDefault="00000000" w:rsidRPr="00000000" w14:paraId="000000D3">
                <w:pPr>
                  <w:widowControl w:val="0"/>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ff0000"/>
                    <w:sz w:val="24"/>
                    <w:szCs w:val="24"/>
                    <w:rtl w:val="0"/>
                  </w:rPr>
                  <w:t xml:space="preserve">XXXXXX</w:t>
                </w:r>
                <w:r w:rsidDel="00000000" w:rsidR="00000000" w:rsidRPr="00000000">
                  <w:rPr>
                    <w:rtl w:val="0"/>
                  </w:rPr>
                </w:r>
              </w:p>
            </w:tc>
          </w:tr>
        </w:tbl>
      </w:sdtContent>
    </w:sdt>
    <w:p w:rsidR="00000000" w:rsidDel="00000000" w:rsidP="00000000" w:rsidRDefault="00000000" w:rsidRPr="00000000" w14:paraId="000000D4">
      <w:pPr>
        <w:spacing w:after="0" w:line="240" w:lineRule="auto"/>
        <w:ind w:left="-90" w:right="-76" w:firstLine="0"/>
        <w:jc w:val="both"/>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D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spacing w:after="0" w:line="240"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4">
      <w:pPr>
        <w:spacing w:after="0" w:line="240"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5">
      <w:pPr>
        <w:spacing w:after="0" w:line="240"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6">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7">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8">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9">
      <w:pPr>
        <w:spacing w:after="0" w:line="240" w:lineRule="auto"/>
        <w:ind w:left="-90" w:right="-76" w:firstLine="0"/>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r w:rsidDel="00000000" w:rsidR="00000000" w:rsidRPr="00000000">
        <w:rPr>
          <w:rtl w:val="0"/>
        </w:rPr>
      </w:r>
    </w:p>
    <w:p w:rsidR="00000000" w:rsidDel="00000000" w:rsidP="00000000" w:rsidRDefault="00000000" w:rsidRPr="00000000" w14:paraId="000000EA">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B">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C">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D">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E">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F">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0">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1">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3">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5">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6">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7">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8">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9">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A">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B">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C">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FE">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PAGARÉ BIA COMO ACREEDOR</w:t>
      </w:r>
      <w:r w:rsidDel="00000000" w:rsidR="00000000" w:rsidRPr="00000000">
        <w:rPr>
          <w:rtl w:val="0"/>
        </w:rPr>
      </w:r>
    </w:p>
    <w:p w:rsidR="00000000" w:rsidDel="00000000" w:rsidP="00000000" w:rsidRDefault="00000000" w:rsidRPr="00000000" w14:paraId="00000100">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1">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102">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03">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104">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DEUDOR</w:t>
      </w:r>
      <w:r w:rsidDel="00000000" w:rsidR="00000000" w:rsidRPr="00000000">
        <w:rPr>
          <w:rtl w:val="0"/>
        </w:rPr>
      </w:r>
    </w:p>
    <w:p w:rsidR="00000000" w:rsidDel="00000000" w:rsidP="00000000" w:rsidRDefault="00000000" w:rsidRPr="00000000" w14:paraId="0000010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0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10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10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09">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contrato de la referencia; b) Cuando</w:t>
      </w:r>
      <w:r w:rsidDel="00000000" w:rsidR="00000000" w:rsidRPr="00000000">
        <w:rPr>
          <w:rFonts w:ascii="Cambria" w:cs="Cambria" w:eastAsia="Cambria" w:hAnsi="Cambria"/>
          <w:b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0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10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0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10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0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10F">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110">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111">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112">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11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5">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12F">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30">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131">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[XXXX] - DEUDOR</w:t>
      </w:r>
      <w:r w:rsidDel="00000000" w:rsidR="00000000" w:rsidRPr="00000000">
        <w:rPr>
          <w:rtl w:val="0"/>
        </w:rPr>
      </w:r>
    </w:p>
    <w:p w:rsidR="00000000" w:rsidDel="00000000" w:rsidP="00000000" w:rsidRDefault="00000000" w:rsidRPr="00000000" w14:paraId="00000132">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widowControl w:val="0"/>
        <w:spacing w:after="0" w:before="8" w:line="249"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34">
      <w:pPr>
        <w:widowControl w:val="0"/>
        <w:spacing w:after="0" w:before="273" w:line="261"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w:t>
      </w:r>
      <w:r w:rsidDel="00000000" w:rsidR="00000000" w:rsidRPr="00000000">
        <w:rPr>
          <w:rFonts w:ascii="Cambria" w:cs="Cambria" w:eastAsia="Cambria" w:hAnsi="Cambria"/>
          <w:sz w:val="24"/>
          <w:szCs w:val="24"/>
          <w:highlight w:val="cyan"/>
          <w:rtl w:val="0"/>
        </w:rPr>
        <w:t xml:space="preserve"> la Sección</w:t>
      </w:r>
      <w:r w:rsidDel="00000000" w:rsidR="00000000" w:rsidRPr="00000000">
        <w:rPr>
          <w:rFonts w:ascii="Cambria" w:cs="Cambria" w:eastAsia="Cambria" w:hAnsi="Cambria"/>
          <w:sz w:val="24"/>
          <w:szCs w:val="24"/>
          <w:rtl w:val="0"/>
        </w:rPr>
        <w:t xml:space="preserve">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35">
      <w:pPr>
        <w:widowControl w:val="0"/>
        <w:spacing w:after="0" w:before="270" w:line="25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36">
      <w:pPr>
        <w:widowControl w:val="0"/>
        <w:spacing w:after="0" w:before="275" w:line="249"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137">
      <w:pPr>
        <w:widowControl w:val="0"/>
        <w:spacing w:after="0" w:before="273" w:line="249"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138">
      <w:pPr>
        <w:widowControl w:val="0"/>
        <w:spacing w:after="0" w:before="275" w:line="248.00000000000006"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39">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13A">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13B">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13C">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13D">
      <w:pPr>
        <w:widowControl w:val="0"/>
        <w:spacing w:after="0" w:before="21" w:line="240" w:lineRule="auto"/>
        <w:ind w:left="139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[Nombre de representante legal]</w:t>
      </w:r>
    </w:p>
    <w:p w:rsidR="00000000" w:rsidDel="00000000" w:rsidP="00000000" w:rsidRDefault="00000000" w:rsidRPr="00000000" w14:paraId="0000013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3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4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5E">
      <w:pP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PAGARÉ BIA COMO DEUDOR</w:t>
      </w:r>
    </w:p>
    <w:p w:rsidR="00000000" w:rsidDel="00000000" w:rsidP="00000000" w:rsidRDefault="00000000" w:rsidRPr="00000000" w14:paraId="0000016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61">
      <w:pPr>
        <w:spacing w:after="0" w:line="240" w:lineRule="auto"/>
        <w:jc w:val="center"/>
        <w:rPr>
          <w:rFonts w:ascii="Cambria" w:cs="Cambria" w:eastAsia="Cambria" w:hAnsi="Cambria"/>
          <w:sz w:val="24"/>
          <w:szCs w:val="24"/>
        </w:rPr>
        <w:sectPr>
          <w:type w:val="continuous"/>
          <w:pgSz w:h="15840" w:w="12240" w:orient="portrait"/>
          <w:pgMar w:bottom="1418" w:top="1701" w:left="12" w:right="780" w:header="708" w:footer="708"/>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162">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63">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64">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ACREEDOR</w:t>
      </w:r>
      <w:r w:rsidDel="00000000" w:rsidR="00000000" w:rsidRPr="00000000">
        <w:rPr>
          <w:rtl w:val="0"/>
        </w:rPr>
      </w:r>
    </w:p>
    <w:p w:rsidR="00000000" w:rsidDel="00000000" w:rsidP="00000000" w:rsidRDefault="00000000" w:rsidRPr="00000000" w14:paraId="0000016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6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rtl w:val="0"/>
        </w:rPr>
        <w:t xml:space="preserve">BIA ENERGY SAS E.S.P</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67">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de las  obligaciones derivadas de la ejecución del contrato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68">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69">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6A">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contrato de la referencia; b) Cuando</w:t>
      </w:r>
      <w:r w:rsidDel="00000000" w:rsidR="00000000" w:rsidRPr="00000000">
        <w:rPr>
          <w:rFonts w:ascii="Cambria" w:cs="Cambria" w:eastAsia="Cambria" w:hAnsi="Cambria"/>
          <w:b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6B">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6C">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6D">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6E">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6F">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70">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71">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veinticinco (2025).  </w:t>
      </w:r>
    </w:p>
    <w:p w:rsidR="00000000" w:rsidDel="00000000" w:rsidP="00000000" w:rsidRDefault="00000000" w:rsidRPr="00000000" w14:paraId="00000172">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73">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74">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Leonardo Velásquez Flórez</w:t>
      </w:r>
    </w:p>
    <w:p w:rsidR="00000000" w:rsidDel="00000000" w:rsidP="00000000" w:rsidRDefault="00000000" w:rsidRPr="00000000" w14:paraId="00000175">
      <w:pPr>
        <w:widowControl w:val="0"/>
        <w:spacing w:after="0" w:before="20" w:line="276"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CC. 1.107.047.209 </w:t>
      </w:r>
    </w:p>
    <w:p w:rsidR="00000000" w:rsidDel="00000000" w:rsidP="00000000" w:rsidRDefault="00000000" w:rsidRPr="00000000" w14:paraId="0000017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7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8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9B">
      <w:pPr>
        <w:widowControl w:val="0"/>
        <w:spacing w:after="0" w:before="2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C">
      <w:pPr>
        <w:widowControl w:val="0"/>
        <w:spacing w:after="0" w:before="58" w:line="240" w:lineRule="auto"/>
        <w:ind w:left="720" w:right="2550" w:firstLine="0"/>
        <w:jc w:val="right"/>
        <w:rPr>
          <w:rFonts w:ascii="Cambria" w:cs="Cambria" w:eastAsia="Cambria" w:hAnsi="Cambria"/>
          <w:b w:val="1"/>
        </w:rPr>
      </w:pPr>
      <w:r w:rsidDel="00000000" w:rsidR="00000000" w:rsidRPr="00000000">
        <w:rPr>
          <w:rFonts w:ascii="Cambria" w:cs="Cambria" w:eastAsia="Cambria" w:hAnsi="Cambria"/>
          <w:b w:val="1"/>
          <w:rtl w:val="0"/>
        </w:rPr>
        <w:t xml:space="preserve">CARTA DE INSTRUCCIONES AL PAGARÉ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9D">
      <w:pPr>
        <w:widowControl w:val="0"/>
        <w:spacing w:after="0" w:before="62" w:line="240" w:lineRule="auto"/>
        <w:ind w:right="1143"/>
        <w:jc w:val="right"/>
        <w:rPr>
          <w:rFonts w:ascii="Cambria" w:cs="Cambria" w:eastAsia="Cambria" w:hAnsi="Cambria"/>
          <w:b w:val="1"/>
        </w:rPr>
      </w:pPr>
      <w:r w:rsidDel="00000000" w:rsidR="00000000" w:rsidRPr="00000000">
        <w:rPr>
          <w:rFonts w:ascii="Cambria" w:cs="Cambria" w:eastAsia="Cambria" w:hAnsi="Cambria"/>
          <w:b w:val="1"/>
          <w:rtl w:val="0"/>
        </w:rPr>
        <w:t xml:space="preserve">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9E">
      <w:pPr>
        <w:widowControl w:val="0"/>
        <w:spacing w:after="0" w:before="278" w:line="240" w:lineRule="auto"/>
        <w:ind w:left="1407"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 NIT 901.588.412-3 - DEUDOR</w:t>
      </w:r>
    </w:p>
    <w:p w:rsidR="00000000" w:rsidDel="00000000" w:rsidP="00000000" w:rsidRDefault="00000000" w:rsidRPr="00000000" w14:paraId="0000019F">
      <w:pPr>
        <w:widowControl w:val="0"/>
        <w:spacing w:after="0" w:before="26" w:line="240" w:lineRule="auto"/>
        <w:ind w:left="1407"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NIT: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 ACREEDOR</w:t>
      </w:r>
    </w:p>
    <w:p w:rsidR="00000000" w:rsidDel="00000000" w:rsidP="00000000" w:rsidRDefault="00000000" w:rsidRPr="00000000" w14:paraId="000001A0">
      <w:pPr>
        <w:widowControl w:val="0"/>
        <w:spacing w:after="0" w:before="29" w:line="240" w:lineRule="auto"/>
        <w:ind w:left="1407"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A1">
      <w:pPr>
        <w:widowControl w:val="0"/>
        <w:spacing w:after="0" w:before="8" w:line="249" w:lineRule="auto"/>
        <w:ind w:left="1407" w:right="342" w:firstLine="0"/>
        <w:jc w:val="both"/>
        <w:rPr>
          <w:rFonts w:ascii="Cambria" w:cs="Cambria" w:eastAsia="Cambria" w:hAnsi="Cambria"/>
        </w:rPr>
      </w:pP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A2">
      <w:pPr>
        <w:widowControl w:val="0"/>
        <w:spacing w:after="0" w:before="273" w:line="261"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rtl w:val="0"/>
        </w:rPr>
        <w:t xml:space="preserve">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A3">
      <w:pPr>
        <w:widowControl w:val="0"/>
        <w:spacing w:after="0" w:before="270" w:line="25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A4">
      <w:pPr>
        <w:widowControl w:val="0"/>
        <w:spacing w:after="0" w:before="275" w:line="249" w:lineRule="auto"/>
        <w:ind w:left="1423" w:right="339" w:firstLine="0"/>
        <w:jc w:val="both"/>
        <w:rPr>
          <w:rFonts w:ascii="Cambria" w:cs="Cambria" w:eastAsia="Cambria" w:hAnsi="Cambria"/>
          <w:b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1A5">
      <w:pPr>
        <w:widowControl w:val="0"/>
        <w:spacing w:after="0" w:before="273" w:line="249"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A6">
      <w:pPr>
        <w:widowControl w:val="0"/>
        <w:spacing w:after="0" w:before="275" w:line="248.00000000000006" w:lineRule="auto"/>
        <w:ind w:left="1429" w:right="345" w:firstLine="0"/>
        <w:jc w:val="both"/>
        <w:rPr>
          <w:rFonts w:ascii="Cambria" w:cs="Cambria" w:eastAsia="Cambria" w:hAnsi="Cambria"/>
        </w:rPr>
      </w:pPr>
      <w:r w:rsidDel="00000000" w:rsidR="00000000" w:rsidRPr="00000000">
        <w:rPr>
          <w:rFonts w:ascii="Cambria" w:cs="Cambria" w:eastAsia="Cambria" w:hAnsi="Cambria"/>
          <w:b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A7">
      <w:pPr>
        <w:widowControl w:val="0"/>
        <w:spacing w:after="0" w:before="275" w:line="240" w:lineRule="auto"/>
        <w:ind w:left="1407" w:firstLine="0"/>
        <w:rPr>
          <w:rFonts w:ascii="Cambria" w:cs="Cambria" w:eastAsia="Cambria" w:hAnsi="Cambria"/>
          <w:b w:val="1"/>
        </w:rPr>
      </w:pPr>
      <w:r w:rsidDel="00000000" w:rsidR="00000000" w:rsidRPr="00000000">
        <w:rPr>
          <w:rFonts w:ascii="Cambria" w:cs="Cambria" w:eastAsia="Cambria" w:hAnsi="Cambria"/>
          <w:rtl w:val="0"/>
        </w:rPr>
        <w:t xml:space="preserve">Firmado en Bogotá, a los ___________ (__) días del mes de _________ del año dos mil veinticinco (2025).  </w:t>
      </w:r>
      <w:r w:rsidDel="00000000" w:rsidR="00000000" w:rsidRPr="00000000">
        <w:rPr>
          <w:rtl w:val="0"/>
        </w:rPr>
      </w:r>
    </w:p>
    <w:p w:rsidR="00000000" w:rsidDel="00000000" w:rsidP="00000000" w:rsidRDefault="00000000" w:rsidRPr="00000000" w14:paraId="000001A8">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A9">
      <w:pPr>
        <w:widowControl w:val="0"/>
        <w:spacing w:after="0" w:before="26" w:line="240" w:lineRule="auto"/>
        <w:ind w:left="1398"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AA">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rtl w:val="0"/>
        </w:rPr>
        <w:t xml:space="preserve">Leonardo Velásquez Flórez</w:t>
      </w:r>
      <w:r w:rsidDel="00000000" w:rsidR="00000000" w:rsidRPr="00000000">
        <w:rPr>
          <w:rtl w:val="0"/>
        </w:rPr>
      </w:r>
    </w:p>
    <w:p w:rsidR="00000000" w:rsidDel="00000000" w:rsidP="00000000" w:rsidRDefault="00000000" w:rsidRPr="00000000" w14:paraId="000001AB">
      <w:pPr>
        <w:widowControl w:val="0"/>
        <w:spacing w:after="0" w:before="20" w:line="276" w:lineRule="auto"/>
        <w:ind w:left="1400" w:firstLine="0"/>
        <w:rPr>
          <w:rFonts w:ascii="Tahoma" w:cs="Tahoma" w:eastAsia="Tahoma" w:hAnsi="Tahoma"/>
          <w:sz w:val="19"/>
          <w:szCs w:val="19"/>
        </w:rPr>
      </w:pPr>
      <w:r w:rsidDel="00000000" w:rsidR="00000000" w:rsidRPr="00000000">
        <w:rPr>
          <w:rFonts w:ascii="Cambria" w:cs="Cambria" w:eastAsia="Cambria" w:hAnsi="Cambria"/>
          <w:b w:val="1"/>
          <w:rtl w:val="0"/>
        </w:rPr>
        <w:t xml:space="preserve">CC. 1.107.047.209 </w:t>
      </w:r>
      <w:r w:rsidDel="00000000" w:rsidR="00000000" w:rsidRPr="00000000">
        <w:rPr>
          <w:rtl w:val="0"/>
        </w:rPr>
      </w:r>
    </w:p>
    <w:p w:rsidR="00000000" w:rsidDel="00000000" w:rsidP="00000000" w:rsidRDefault="00000000" w:rsidRPr="00000000" w14:paraId="000001A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D">
      <w:pPr>
        <w:widowControl w:val="0"/>
        <w:spacing w:after="0" w:before="288" w:line="261" w:lineRule="auto"/>
        <w:ind w:right="339"/>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E">
      <w:pPr>
        <w:spacing w:after="0" w:line="240" w:lineRule="auto"/>
        <w:ind w:left="-90" w:firstLine="0"/>
        <w:rPr>
          <w:rFonts w:ascii="Cambria" w:cs="Cambria" w:eastAsia="Cambria" w:hAnsi="Cambria"/>
          <w:sz w:val="24"/>
          <w:szCs w:val="24"/>
        </w:rPr>
      </w:pPr>
      <w:bookmarkStart w:colFirst="0" w:colLast="0" w:name="_heading=h.s43ytvvgyp8y" w:id="2"/>
      <w:bookmarkEnd w:id="2"/>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ahoma">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4"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2.jpg"/>
        </v:shape>
      </w:pict>
    </w:r>
    <w:r w:rsidDel="00000000" w:rsidR="00000000" w:rsidRPr="00000000">
      <w:rPr/>
      <w:pict>
        <v:shape id="WordPictureWatermark5"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3"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ind w:left="720" w:hanging="720"/>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ind w:left="1440" w:hanging="720"/>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rsid w:val="005116FA"/>
    <w:pPr>
      <w:keepNext w:val="1"/>
      <w:keepLines w:val="1"/>
      <w:numPr>
        <w:numId w:val="15"/>
      </w:numPr>
      <w:spacing w:after="120" w:before="480"/>
      <w:jc w:val="center"/>
      <w:outlineLvl w:val="0"/>
    </w:pPr>
    <w:rPr>
      <w:rFonts w:ascii="Cambria" w:hAnsi="Cambria"/>
      <w:b w:val="1"/>
      <w:sz w:val="24"/>
      <w:szCs w:val="48"/>
    </w:rPr>
  </w:style>
  <w:style w:type="paragraph" w:styleId="Ttulo2">
    <w:name w:val="heading 2"/>
    <w:basedOn w:val="Normal"/>
    <w:next w:val="Normal"/>
    <w:uiPriority w:val="9"/>
    <w:semiHidden w:val="1"/>
    <w:unhideWhenUsed w:val="1"/>
    <w:qFormat w:val="1"/>
    <w:rsid w:val="005116FA"/>
    <w:pPr>
      <w:keepNext w:val="1"/>
      <w:keepLines w:val="1"/>
      <w:numPr>
        <w:ilvl w:val="1"/>
        <w:numId w:val="15"/>
      </w:numPr>
      <w:spacing w:after="80" w:before="360"/>
      <w:outlineLvl w:val="1"/>
    </w:pPr>
    <w:rPr>
      <w:rFonts w:ascii="Cambria" w:hAnsi="Cambria"/>
      <w:b w:val="1"/>
      <w:sz w:val="24"/>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top w:w="100.0" w:type="dxa"/>
        <w:left w:w="100.0" w:type="dxa"/>
        <w:bottom w:w="100.0" w:type="dxa"/>
        <w:right w:w="100.0" w:type="dxa"/>
      </w:tblCellMar>
    </w:tblPr>
  </w:style>
  <w:style w:type="table" w:styleId="a6" w:customStyle="1">
    <w:basedOn w:val="TableNormal7"/>
    <w:tblPr>
      <w:tblStyleRowBandSize w:val="1"/>
      <w:tblStyleColBandSize w:val="1"/>
      <w:tblCellMar>
        <w:top w:w="100.0" w:type="dxa"/>
        <w:left w:w="100.0" w:type="dxa"/>
        <w:bottom w:w="100.0" w:type="dxa"/>
        <w:right w:w="100.0" w:type="dxa"/>
      </w:tblCellMar>
    </w:tblPr>
  </w:style>
  <w:style w:type="table" w:styleId="a7" w:customStyle="1">
    <w:basedOn w:val="TableNormal7"/>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numbering" w:styleId="Estilo1" w:customStyle="1">
    <w:name w:val="Estilo1"/>
    <w:uiPriority w:val="99"/>
    <w:rsid w:val="005116FA"/>
  </w:style>
  <w:style w:type="paragraph" w:styleId="TtuloTDC">
    <w:name w:val="TOC Heading"/>
    <w:basedOn w:val="Ttulo1"/>
    <w:next w:val="Normal"/>
    <w:uiPriority w:val="39"/>
    <w:unhideWhenUsed w:val="1"/>
    <w:qFormat w:val="1"/>
    <w:rsid w:val="005116FA"/>
    <w:pPr>
      <w:numPr>
        <w:numId w:val="0"/>
      </w:numPr>
      <w:spacing w:after="0" w:before="240"/>
      <w:jc w:val="left"/>
      <w:outlineLvl w:val="9"/>
    </w:pPr>
    <w:rPr>
      <w:rFonts w:asciiTheme="majorHAnsi" w:cstheme="majorBidi" w:eastAsiaTheme="majorEastAsia" w:hAnsiTheme="majorHAnsi"/>
      <w:b w:val="0"/>
      <w:color w:val="365f91" w:themeColor="accent1" w:themeShade="0000BF"/>
      <w:sz w:val="32"/>
      <w:szCs w:val="32"/>
    </w:rPr>
  </w:style>
  <w:style w:type="paragraph" w:styleId="TDC1">
    <w:name w:val="toc 1"/>
    <w:basedOn w:val="Normal"/>
    <w:next w:val="Normal"/>
    <w:autoRedefine w:val="1"/>
    <w:uiPriority w:val="39"/>
    <w:unhideWhenUsed w:val="1"/>
    <w:rsid w:val="005116FA"/>
    <w:pPr>
      <w:spacing w:after="100"/>
    </w:pPr>
  </w:style>
  <w:style w:type="paragraph" w:styleId="TDC2">
    <w:name w:val="toc 2"/>
    <w:basedOn w:val="Normal"/>
    <w:next w:val="Normal"/>
    <w:autoRedefine w:val="1"/>
    <w:uiPriority w:val="39"/>
    <w:unhideWhenUsed w:val="1"/>
    <w:rsid w:val="005116FA"/>
    <w:pPr>
      <w:spacing w:after="100"/>
      <w:ind w:left="220"/>
    </w:pPr>
  </w:style>
  <w:style w:type="character" w:styleId="Hipervnculo">
    <w:name w:val="Hyperlink"/>
    <w:basedOn w:val="Fuentedeprrafopredeter"/>
    <w:uiPriority w:val="99"/>
    <w:unhideWhenUsed w:val="1"/>
    <w:rsid w:val="005116FA"/>
    <w:rPr>
      <w:color w:val="0000ff" w:themeColor="hyperlink"/>
      <w:u w:val="single"/>
    </w:rPr>
  </w:style>
  <w:style w:type="table" w:styleId="a8" w:customStyle="1">
    <w:basedOn w:val="TableNormal6"/>
    <w:tblPr>
      <w:tblStyleRowBandSize w:val="1"/>
      <w:tblStyleColBandSize w:val="1"/>
      <w:tblCellMar>
        <w:top w:w="100.0" w:type="dxa"/>
        <w:left w:w="100.0" w:type="dxa"/>
        <w:bottom w:w="100.0" w:type="dxa"/>
        <w:right w:w="100.0" w:type="dxa"/>
      </w:tblCellMar>
    </w:tblPr>
  </w:style>
  <w:style w:type="table" w:styleId="a9" w:customStyle="1">
    <w:basedOn w:val="TableNormal6"/>
    <w:tblPr>
      <w:tblStyleRowBandSize w:val="1"/>
      <w:tblStyleColBandSize w:val="1"/>
      <w:tblCellMar>
        <w:top w:w="100.0" w:type="dxa"/>
        <w:left w:w="100.0" w:type="dxa"/>
        <w:bottom w:w="100.0" w:type="dxa"/>
        <w:right w:w="100.0" w:type="dxa"/>
      </w:tblCellMar>
    </w:tblPr>
  </w:style>
  <w:style w:type="table" w:styleId="aa" w:customStyle="1">
    <w:basedOn w:val="TableNormal6"/>
    <w:tblPr>
      <w:tblStyleRowBandSize w:val="1"/>
      <w:tblStyleColBandSize w:val="1"/>
      <w:tblCellMar>
        <w:top w:w="100.0" w:type="dxa"/>
        <w:left w:w="100.0" w:type="dxa"/>
        <w:bottom w:w="100.0" w:type="dxa"/>
        <w:right w:w="100.0" w:type="dxa"/>
      </w:tblCellMar>
    </w:tblPr>
  </w:style>
  <w:style w:type="table" w:styleId="ab" w:customStyle="1">
    <w:basedOn w:val="TableNormal6"/>
    <w:tblPr>
      <w:tblStyleRowBandSize w:val="1"/>
      <w:tblStyleColBandSize w:val="1"/>
      <w:tblCellMar>
        <w:top w:w="100.0" w:type="dxa"/>
        <w:left w:w="100.0" w:type="dxa"/>
        <w:bottom w:w="100.0" w:type="dxa"/>
        <w:right w:w="100.0" w:type="dxa"/>
      </w:tblCellMar>
    </w:tblPr>
  </w:style>
  <w:style w:type="table" w:styleId="ac" w:customStyle="1">
    <w:basedOn w:val="TableNormal6"/>
    <w:tblPr>
      <w:tblStyleRowBandSize w:val="1"/>
      <w:tblStyleColBandSize w:val="1"/>
      <w:tblCellMar>
        <w:top w:w="100.0" w:type="dxa"/>
        <w:left w:w="100.0" w:type="dxa"/>
        <w:bottom w:w="100.0" w:type="dxa"/>
        <w:right w:w="100.0" w:type="dxa"/>
      </w:tblCellMar>
    </w:tblPr>
  </w:style>
  <w:style w:type="table" w:styleId="ad" w:customStyle="1">
    <w:basedOn w:val="TableNormal6"/>
    <w:tblPr>
      <w:tblStyleRowBandSize w:val="1"/>
      <w:tblStyleColBandSize w:val="1"/>
      <w:tblCellMar>
        <w:top w:w="100.0" w:type="dxa"/>
        <w:left w:w="100.0" w:type="dxa"/>
        <w:bottom w:w="100.0" w:type="dxa"/>
        <w:right w:w="100.0" w:type="dxa"/>
      </w:tblCellMar>
    </w:tblPr>
  </w:style>
  <w:style w:type="table" w:styleId="ae" w:customStyle="1">
    <w:basedOn w:val="TableNormal6"/>
    <w:tblPr>
      <w:tblStyleRowBandSize w:val="1"/>
      <w:tblStyleColBandSize w:val="1"/>
      <w:tblCellMar>
        <w:top w:w="100.0" w:type="dxa"/>
        <w:left w:w="100.0" w:type="dxa"/>
        <w:bottom w:w="100.0" w:type="dxa"/>
        <w:right w:w="100.0" w:type="dxa"/>
      </w:tblCellMar>
    </w:tblPr>
  </w:style>
  <w:style w:type="table" w:styleId="af" w:customStyle="1">
    <w:basedOn w:val="TableNormal6"/>
    <w:tblPr>
      <w:tblStyleRowBandSize w:val="1"/>
      <w:tblStyleColBandSize w:val="1"/>
      <w:tblCellMar>
        <w:top w:w="100.0" w:type="dxa"/>
        <w:left w:w="100.0" w:type="dxa"/>
        <w:bottom w:w="100.0" w:type="dxa"/>
        <w:right w:w="100.0" w:type="dxa"/>
      </w:tblCellMar>
    </w:tblPr>
  </w:style>
  <w:style w:type="table" w:styleId="af0" w:customStyle="1">
    <w:basedOn w:val="TableNormal6"/>
    <w:tblPr>
      <w:tblStyleRowBandSize w:val="1"/>
      <w:tblStyleColBandSize w:val="1"/>
      <w:tblCellMar>
        <w:top w:w="100.0" w:type="dxa"/>
        <w:left w:w="100.0" w:type="dxa"/>
        <w:bottom w:w="100.0" w:type="dxa"/>
        <w:right w:w="100.0" w:type="dxa"/>
      </w:tblCellMar>
    </w:tblPr>
  </w:style>
  <w:style w:type="table" w:styleId="af1" w:customStyle="1">
    <w:basedOn w:val="TableNormal6"/>
    <w:tblPr>
      <w:tblStyleRowBandSize w:val="1"/>
      <w:tblStyleColBandSize w:val="1"/>
      <w:tblCellMar>
        <w:top w:w="100.0" w:type="dxa"/>
        <w:left w:w="100.0" w:type="dxa"/>
        <w:bottom w:w="100.0" w:type="dxa"/>
        <w:right w:w="100.0" w:type="dxa"/>
      </w:tblCellMar>
    </w:tblPr>
  </w:style>
  <w:style w:type="table" w:styleId="af2" w:customStyle="1">
    <w:basedOn w:val="TableNormal6"/>
    <w:tblPr>
      <w:tblStyleRowBandSize w:val="1"/>
      <w:tblStyleColBandSize w:val="1"/>
      <w:tblCellMar>
        <w:top w:w="100.0" w:type="dxa"/>
        <w:left w:w="100.0" w:type="dxa"/>
        <w:bottom w:w="100.0" w:type="dxa"/>
        <w:right w:w="100.0" w:type="dxa"/>
      </w:tblCellMar>
    </w:tblPr>
  </w:style>
  <w:style w:type="table" w:styleId="af3" w:customStyle="1">
    <w:basedOn w:val="TableNormal6"/>
    <w:tblPr>
      <w:tblStyleRowBandSize w:val="1"/>
      <w:tblStyleColBandSize w:val="1"/>
      <w:tblCellMar>
        <w:top w:w="100.0" w:type="dxa"/>
        <w:left w:w="100.0" w:type="dxa"/>
        <w:bottom w:w="100.0" w:type="dxa"/>
        <w:right w:w="100.0" w:type="dxa"/>
      </w:tblCellMar>
    </w:tblPr>
  </w:style>
  <w:style w:type="table" w:styleId="af4" w:customStyle="1">
    <w:basedOn w:val="TableNormal6"/>
    <w:tblPr>
      <w:tblStyleRowBandSize w:val="1"/>
      <w:tblStyleColBandSize w:val="1"/>
      <w:tblCellMar>
        <w:top w:w="100.0" w:type="dxa"/>
        <w:left w:w="100.0" w:type="dxa"/>
        <w:bottom w:w="100.0" w:type="dxa"/>
        <w:right w:w="100.0" w:type="dxa"/>
      </w:tblCellMar>
    </w:tblPr>
  </w:style>
  <w:style w:type="table" w:styleId="af5" w:customStyle="1">
    <w:basedOn w:val="TableNormal6"/>
    <w:tblPr>
      <w:tblStyleRowBandSize w:val="1"/>
      <w:tblStyleColBandSize w:val="1"/>
      <w:tblCellMar>
        <w:top w:w="100.0" w:type="dxa"/>
        <w:left w:w="100.0" w:type="dxa"/>
        <w:bottom w:w="100.0" w:type="dxa"/>
        <w:right w:w="100.0" w:type="dxa"/>
      </w:tblCellMar>
    </w:tblPr>
  </w:style>
  <w:style w:type="table" w:styleId="af6" w:customStyle="1">
    <w:basedOn w:val="TableNormal6"/>
    <w:tblPr>
      <w:tblStyleRowBandSize w:val="1"/>
      <w:tblStyleColBandSize w:val="1"/>
      <w:tblCellMar>
        <w:top w:w="100.0" w:type="dxa"/>
        <w:left w:w="100.0" w:type="dxa"/>
        <w:bottom w:w="100.0" w:type="dxa"/>
        <w:right w:w="100.0" w:type="dxa"/>
      </w:tblCellMar>
    </w:tblPr>
  </w:style>
  <w:style w:type="table" w:styleId="af7" w:customStyle="1">
    <w:basedOn w:val="TableNormal6"/>
    <w:tblPr>
      <w:tblStyleRowBandSize w:val="1"/>
      <w:tblStyleColBandSize w:val="1"/>
      <w:tblCellMar>
        <w:top w:w="100.0" w:type="dxa"/>
        <w:left w:w="100.0" w:type="dxa"/>
        <w:bottom w:w="100.0" w:type="dxa"/>
        <w:right w:w="100.0" w:type="dxa"/>
      </w:tblCellMar>
    </w:tblPr>
  </w:style>
  <w:style w:type="table" w:styleId="af8" w:customStyle="1">
    <w:basedOn w:val="TableNormal6"/>
    <w:tblPr>
      <w:tblStyleRowBandSize w:val="1"/>
      <w:tblStyleColBandSize w:val="1"/>
      <w:tblCellMar>
        <w:top w:w="100.0" w:type="dxa"/>
        <w:left w:w="100.0" w:type="dxa"/>
        <w:bottom w:w="100.0" w:type="dxa"/>
        <w:right w:w="100.0" w:type="dxa"/>
      </w:tblCellMar>
    </w:tblPr>
  </w:style>
  <w:style w:type="table" w:styleId="af9" w:customStyle="1">
    <w:basedOn w:val="TableNormal6"/>
    <w:tblPr>
      <w:tblStyleRowBandSize w:val="1"/>
      <w:tblStyleColBandSize w:val="1"/>
      <w:tblCellMar>
        <w:top w:w="100.0" w:type="dxa"/>
        <w:left w:w="100.0" w:type="dxa"/>
        <w:bottom w:w="100.0" w:type="dxa"/>
        <w:right w:w="100.0" w:type="dxa"/>
      </w:tblCellMar>
    </w:tblPr>
  </w:style>
  <w:style w:type="table" w:styleId="afa" w:customStyle="1">
    <w:basedOn w:val="TableNormal6"/>
    <w:tblPr>
      <w:tblStyleRowBandSize w:val="1"/>
      <w:tblStyleColBandSize w:val="1"/>
      <w:tblCellMar>
        <w:top w:w="100.0" w:type="dxa"/>
        <w:left w:w="100.0" w:type="dxa"/>
        <w:bottom w:w="100.0" w:type="dxa"/>
        <w:right w:w="100.0" w:type="dxa"/>
      </w:tblCellMar>
    </w:tblPr>
  </w:style>
  <w:style w:type="table" w:styleId="afb" w:customStyle="1">
    <w:basedOn w:val="TableNormal6"/>
    <w:tblPr>
      <w:tblStyleRowBandSize w:val="1"/>
      <w:tblStyleColBandSize w:val="1"/>
      <w:tblCellMar>
        <w:top w:w="100.0" w:type="dxa"/>
        <w:left w:w="100.0" w:type="dxa"/>
        <w:bottom w:w="100.0" w:type="dxa"/>
        <w:right w:w="100.0" w:type="dxa"/>
      </w:tblCellMar>
    </w:tblPr>
  </w:style>
  <w:style w:type="table" w:styleId="afc" w:customStyle="1">
    <w:basedOn w:val="TableNormal6"/>
    <w:tblPr>
      <w:tblStyleRowBandSize w:val="1"/>
      <w:tblStyleColBandSize w:val="1"/>
      <w:tblCellMar>
        <w:top w:w="100.0" w:type="dxa"/>
        <w:left w:w="100.0" w:type="dxa"/>
        <w:bottom w:w="100.0" w:type="dxa"/>
        <w:right w:w="100.0" w:type="dxa"/>
      </w:tblCellMar>
    </w:tblPr>
  </w:style>
  <w:style w:type="table" w:styleId="afd" w:customStyle="1">
    <w:basedOn w:val="TableNormal6"/>
    <w:tblPr>
      <w:tblStyleRowBandSize w:val="1"/>
      <w:tblStyleColBandSize w:val="1"/>
      <w:tblCellMar>
        <w:top w:w="100.0" w:type="dxa"/>
        <w:left w:w="100.0" w:type="dxa"/>
        <w:bottom w:w="100.0" w:type="dxa"/>
        <w:right w:w="100.0" w:type="dxa"/>
      </w:tblCellMar>
    </w:tblPr>
  </w:style>
  <w:style w:type="table" w:styleId="afe" w:customStyle="1">
    <w:basedOn w:val="TableNormal6"/>
    <w:tblPr>
      <w:tblStyleRowBandSize w:val="1"/>
      <w:tblStyleColBandSize w:val="1"/>
      <w:tblCellMar>
        <w:top w:w="100.0" w:type="dxa"/>
        <w:left w:w="100.0" w:type="dxa"/>
        <w:bottom w:w="100.0" w:type="dxa"/>
        <w:right w:w="100.0" w:type="dxa"/>
      </w:tblCellMar>
    </w:tblPr>
  </w:style>
  <w:style w:type="table" w:styleId="aff" w:customStyle="1">
    <w:basedOn w:val="TableNormal6"/>
    <w:tblPr>
      <w:tblStyleRowBandSize w:val="1"/>
      <w:tblStyleColBandSize w:val="1"/>
      <w:tblCellMar>
        <w:top w:w="100.0" w:type="dxa"/>
        <w:left w:w="100.0" w:type="dxa"/>
        <w:bottom w:w="100.0" w:type="dxa"/>
        <w:right w:w="100.0" w:type="dxa"/>
      </w:tblCellMar>
    </w:tblPr>
  </w:style>
  <w:style w:type="table" w:styleId="aff0" w:customStyle="1">
    <w:basedOn w:val="TableNormal6"/>
    <w:tblPr>
      <w:tblStyleRowBandSize w:val="1"/>
      <w:tblStyleColBandSize w:val="1"/>
      <w:tblCellMar>
        <w:top w:w="100.0" w:type="dxa"/>
        <w:left w:w="100.0" w:type="dxa"/>
        <w:bottom w:w="100.0" w:type="dxa"/>
        <w:right w:w="100.0" w:type="dxa"/>
      </w:tblCellMar>
    </w:tblPr>
  </w:style>
  <w:style w:type="table" w:styleId="aff1" w:customStyle="1">
    <w:basedOn w:val="TableNormal6"/>
    <w:tblPr>
      <w:tblStyleRowBandSize w:val="1"/>
      <w:tblStyleColBandSize w:val="1"/>
      <w:tblCellMar>
        <w:top w:w="100.0" w:type="dxa"/>
        <w:left w:w="100.0" w:type="dxa"/>
        <w:bottom w:w="100.0" w:type="dxa"/>
        <w:right w:w="100.0" w:type="dxa"/>
      </w:tblCellMar>
    </w:tblPr>
  </w:style>
  <w:style w:type="table" w:styleId="aff2" w:customStyle="1">
    <w:basedOn w:val="TableNormal6"/>
    <w:tblPr>
      <w:tblStyleRowBandSize w:val="1"/>
      <w:tblStyleColBandSize w:val="1"/>
      <w:tblCellMar>
        <w:top w:w="100.0" w:type="dxa"/>
        <w:left w:w="100.0" w:type="dxa"/>
        <w:bottom w:w="100.0" w:type="dxa"/>
        <w:right w:w="100.0" w:type="dxa"/>
      </w:tblCellMar>
    </w:tblPr>
  </w:style>
  <w:style w:type="table" w:styleId="aff3" w:customStyle="1">
    <w:basedOn w:val="TableNormal6"/>
    <w:tblPr>
      <w:tblStyleRowBandSize w:val="1"/>
      <w:tblStyleColBandSize w:val="1"/>
      <w:tblCellMar>
        <w:top w:w="100.0" w:type="dxa"/>
        <w:left w:w="100.0" w:type="dxa"/>
        <w:bottom w:w="100.0" w:type="dxa"/>
        <w:right w:w="100.0" w:type="dxa"/>
      </w:tblCellMar>
    </w:tblPr>
  </w:style>
  <w:style w:type="table" w:styleId="aff4" w:customStyle="1">
    <w:basedOn w:val="TableNormal6"/>
    <w:tblPr>
      <w:tblStyleRowBandSize w:val="1"/>
      <w:tblStyleColBandSize w:val="1"/>
      <w:tblCellMar>
        <w:top w:w="100.0" w:type="dxa"/>
        <w:left w:w="100.0" w:type="dxa"/>
        <w:bottom w:w="100.0" w:type="dxa"/>
        <w:right w:w="100.0" w:type="dxa"/>
      </w:tblCellMar>
    </w:tblPr>
  </w:style>
  <w:style w:type="table" w:styleId="aff5" w:customStyle="1">
    <w:basedOn w:val="TableNormal6"/>
    <w:tblPr>
      <w:tblStyleRowBandSize w:val="1"/>
      <w:tblStyleColBandSize w:val="1"/>
      <w:tblCellMar>
        <w:top w:w="100.0" w:type="dxa"/>
        <w:left w:w="100.0" w:type="dxa"/>
        <w:bottom w:w="100.0" w:type="dxa"/>
        <w:right w:w="100.0" w:type="dxa"/>
      </w:tblCellMar>
    </w:tblPr>
  </w:style>
  <w:style w:type="table" w:styleId="aff6" w:customStyle="1">
    <w:basedOn w:val="TableNormal6"/>
    <w:tblPr>
      <w:tblStyleRowBandSize w:val="1"/>
      <w:tblStyleColBandSize w:val="1"/>
      <w:tblCellMar>
        <w:top w:w="100.0" w:type="dxa"/>
        <w:left w:w="100.0" w:type="dxa"/>
        <w:bottom w:w="100.0" w:type="dxa"/>
        <w:right w:w="100.0" w:type="dxa"/>
      </w:tblCellMar>
    </w:tblPr>
  </w:style>
  <w:style w:type="table" w:styleId="aff7" w:customStyle="1">
    <w:basedOn w:val="TableNormal6"/>
    <w:tblPr>
      <w:tblStyleRowBandSize w:val="1"/>
      <w:tblStyleColBandSize w:val="1"/>
      <w:tblCellMar>
        <w:top w:w="100.0" w:type="dxa"/>
        <w:left w:w="100.0" w:type="dxa"/>
        <w:bottom w:w="100.0" w:type="dxa"/>
        <w:right w:w="100.0" w:type="dxa"/>
      </w:tblCellMar>
    </w:tblPr>
  </w:style>
  <w:style w:type="table" w:styleId="aff8" w:customStyle="1">
    <w:basedOn w:val="TableNormal6"/>
    <w:tblPr>
      <w:tblStyleRowBandSize w:val="1"/>
      <w:tblStyleColBandSize w:val="1"/>
      <w:tblCellMar>
        <w:top w:w="100.0" w:type="dxa"/>
        <w:left w:w="100.0" w:type="dxa"/>
        <w:bottom w:w="100.0" w:type="dxa"/>
        <w:right w:w="100.0" w:type="dxa"/>
      </w:tblCellMar>
    </w:tblPr>
  </w:style>
  <w:style w:type="table" w:styleId="aff9" w:customStyle="1">
    <w:basedOn w:val="TableNormal6"/>
    <w:tblPr>
      <w:tblStyleRowBandSize w:val="1"/>
      <w:tblStyleColBandSize w:val="1"/>
      <w:tblCellMar>
        <w:top w:w="100.0" w:type="dxa"/>
        <w:left w:w="100.0" w:type="dxa"/>
        <w:bottom w:w="100.0" w:type="dxa"/>
        <w:right w:w="100.0" w:type="dxa"/>
      </w:tblCellMar>
    </w:tblPr>
  </w:style>
  <w:style w:type="table" w:styleId="affa" w:customStyle="1">
    <w:basedOn w:val="TableNormal6"/>
    <w:tblPr>
      <w:tblStyleRowBandSize w:val="1"/>
      <w:tblStyleColBandSize w:val="1"/>
      <w:tblCellMar>
        <w:top w:w="100.0" w:type="dxa"/>
        <w:left w:w="100.0" w:type="dxa"/>
        <w:bottom w:w="100.0" w:type="dxa"/>
        <w:right w:w="100.0" w:type="dxa"/>
      </w:tblCellMar>
    </w:tblPr>
  </w:style>
  <w:style w:type="character" w:styleId="Mencinsinresolver">
    <w:name w:val="Unresolved Mention"/>
    <w:basedOn w:val="Fuentedeprrafopredeter"/>
    <w:uiPriority w:val="99"/>
    <w:semiHidden w:val="1"/>
    <w:unhideWhenUsed w:val="1"/>
    <w:rsid w:val="00FF063E"/>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m6wvWs3xgBJDBBGhpgW1yZ2cw==">CgMxLjAaHwoBMBIaChgICVIUChJ0YWJsZS45N3lxMHFvOWlkajEaHwoBMRIaChgICVIUChJ0YWJsZS5xMGEwcHduanV0OGgyDmguZXdqZTZrbmpldXhvMg5oLnBoanZhM25mZzhvdzIOaC5zNDN5dHZ2Z3lwOHk4AHIhMWY0TS1Scm9ldndONkZjRURhX0NmQ0ZEeF80TmljUnJT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2024-05-02T21:59:00Z</dcterms:created>
</cp:coreProperties>
</file>