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ANEXO 2. MINUTA DE OFERTA MERCANTIL</w:t>
      </w:r>
    </w:p>
    <w:p w:rsidR="00000000" w:rsidDel="00000000" w:rsidP="00000000" w:rsidRDefault="00000000" w:rsidRPr="00000000" w14:paraId="00000003">
      <w:pPr>
        <w:spacing w:after="0" w:line="240" w:lineRule="auto"/>
        <w:ind w:left="-90" w:firstLine="0"/>
        <w:rPr>
          <w:rFonts w:ascii="Cambria" w:cs="Cambria" w:eastAsia="Cambria" w:hAnsi="Cambria"/>
          <w:sz w:val="24"/>
          <w:szCs w:val="24"/>
        </w:rPr>
      </w:pPr>
      <w:bookmarkStart w:colFirst="0" w:colLast="0" w:name="_heading=h.ewje6knjeuxo" w:id="0"/>
      <w:bookmarkEnd w:id="0"/>
      <w:r w:rsidDel="00000000" w:rsidR="00000000" w:rsidRPr="00000000">
        <w:rPr>
          <w:rFonts w:ascii="Cambria" w:cs="Cambria" w:eastAsia="Cambria" w:hAnsi="Cambria"/>
          <w:sz w:val="24"/>
          <w:szCs w:val="24"/>
          <w:rtl w:val="0"/>
        </w:rPr>
        <w:br w:type="textWrapping"/>
        <w:t xml:space="preserve">Señores</w:t>
        <w:br w:type="textWrapping"/>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sz w:val="24"/>
          <w:szCs w:val="24"/>
          <w:rtl w:val="0"/>
        </w:rPr>
        <w:t xml:space="preserve">901.588.412-3</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b w:val="1"/>
          <w:sz w:val="24"/>
          <w:szCs w:val="24"/>
          <w:rtl w:val="0"/>
        </w:rPr>
        <w:t xml:space="preserve">Atención.</w:t>
      </w:r>
      <w:r w:rsidDel="00000000" w:rsidR="00000000" w:rsidRPr="00000000">
        <w:rPr>
          <w:rFonts w:ascii="Cambria" w:cs="Cambria" w:eastAsia="Cambria" w:hAnsi="Cambria"/>
          <w:sz w:val="24"/>
          <w:szCs w:val="24"/>
          <w:rtl w:val="0"/>
        </w:rPr>
        <w:t xml:space="preserve"> Leonardo Velásquez Flórez</w:t>
        <w:br w:type="textWrapping"/>
        <w:t xml:space="preserve">Representante legal</w:t>
        <w:br w:type="textWrapping"/>
      </w:r>
      <w:hyperlink r:id="rId7">
        <w:r w:rsidDel="00000000" w:rsidR="00000000" w:rsidRPr="00000000">
          <w:rPr>
            <w:rFonts w:ascii="Cambria" w:cs="Cambria" w:eastAsia="Cambria" w:hAnsi="Cambria"/>
            <w:color w:val="1155cc"/>
            <w:sz w:val="24"/>
            <w:szCs w:val="24"/>
            <w:u w:val="single"/>
            <w:rtl w:val="0"/>
          </w:rPr>
          <w:t xml:space="preserve">nohora@bia.app</w:t>
        </w:r>
      </w:hyperlink>
      <w:r w:rsidDel="00000000" w:rsidR="00000000" w:rsidRPr="00000000">
        <w:rPr>
          <w:rFonts w:ascii="Cambria" w:cs="Cambria" w:eastAsia="Cambria" w:hAnsi="Cambria"/>
          <w:color w:val="ff0000"/>
          <w:sz w:val="24"/>
          <w:szCs w:val="24"/>
          <w:rtl w:val="0"/>
        </w:rPr>
        <w:br w:type="textWrapping"/>
      </w:r>
      <w:hyperlink r:id="rId8">
        <w:r w:rsidDel="00000000" w:rsidR="00000000" w:rsidRPr="00000000">
          <w:rPr>
            <w:rFonts w:ascii="Cambria" w:cs="Cambria" w:eastAsia="Cambria" w:hAnsi="Cambria"/>
            <w:color w:val="1155cc"/>
            <w:sz w:val="24"/>
            <w:szCs w:val="24"/>
            <w:u w:val="single"/>
            <w:rtl w:val="0"/>
          </w:rPr>
          <w:t xml:space="preserve">juliana.bonilla@bia.app</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br w:type="textWrapping"/>
        <w:br w:type="textWrapping"/>
        <w:t xml:space="preserve">Referencia. Invitación Pública No. </w:t>
      </w:r>
      <w:r w:rsidDel="00000000" w:rsidR="00000000" w:rsidRPr="00000000">
        <w:rPr>
          <w:rFonts w:ascii="Cambria" w:cs="Cambria" w:eastAsia="Cambria" w:hAnsi="Cambria"/>
          <w:color w:val="ff0000"/>
          <w:sz w:val="24"/>
          <w:szCs w:val="24"/>
          <w:rtl w:val="0"/>
        </w:rPr>
        <w:t xml:space="preserve">CP-BIAC2025-004</w:t>
      </w:r>
      <w:r w:rsidDel="00000000" w:rsidR="00000000" w:rsidRPr="00000000">
        <w:rPr>
          <w:rFonts w:ascii="Cambria" w:cs="Cambria" w:eastAsia="Cambria" w:hAnsi="Cambria"/>
          <w:sz w:val="24"/>
          <w:szCs w:val="24"/>
          <w:rtl w:val="0"/>
        </w:rPr>
        <w:br w:type="textWrapping"/>
        <w:t xml:space="preserve">Asunto. Oferta mercantil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para la venta de energía eléctrica con destino al mercado regulado </w:t>
      </w:r>
    </w:p>
    <w:p w:rsidR="00000000" w:rsidDel="00000000" w:rsidP="00000000" w:rsidRDefault="00000000" w:rsidRPr="00000000" w14:paraId="00000004">
      <w:pPr>
        <w:spacing w:after="0" w:line="240" w:lineRule="auto"/>
        <w:ind w:left="-90" w:firstLine="0"/>
        <w:rPr>
          <w:rFonts w:ascii="Cambria" w:cs="Cambria" w:eastAsia="Cambria" w:hAnsi="Cambria"/>
          <w:sz w:val="24"/>
          <w:szCs w:val="24"/>
        </w:rPr>
      </w:pPr>
      <w:bookmarkStart w:colFirst="0" w:colLast="0" w:name="_heading=h.phjva3nfg8ow" w:id="1"/>
      <w:bookmarkEnd w:id="1"/>
      <w:r w:rsidDel="00000000" w:rsidR="00000000" w:rsidRPr="00000000">
        <w:rPr>
          <w:rtl w:val="0"/>
        </w:rPr>
      </w:r>
    </w:p>
    <w:p w:rsidR="00000000" w:rsidDel="00000000" w:rsidP="00000000" w:rsidRDefault="00000000" w:rsidRPr="00000000" w14:paraId="0000000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00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008">
      <w:pPr>
        <w:numPr>
          <w:ilvl w:val="0"/>
          <w:numId w:val="1"/>
        </w:numPr>
        <w:spacing w:after="240" w:before="240" w:line="240" w:lineRule="auto"/>
        <w:ind w:left="720"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Objeto </w:t>
      </w:r>
    </w:p>
    <w:p w:rsidR="00000000" w:rsidDel="00000000" w:rsidP="00000000" w:rsidRDefault="00000000" w:rsidRPr="00000000" w14:paraId="00000009">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i w:val="1"/>
          <w:sz w:val="24"/>
          <w:szCs w:val="24"/>
          <w:rtl w:val="0"/>
        </w:rPr>
        <w:t xml:space="preserve">pague lo contratado</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3 y 4 de la presente oferta ,a cambio de una contraprestación económica o precio.</w:t>
      </w:r>
    </w:p>
    <w:p w:rsidR="00000000" w:rsidDel="00000000" w:rsidP="00000000" w:rsidRDefault="00000000" w:rsidRPr="00000000" w14:paraId="0000000A">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rsidR="00000000" w:rsidDel="00000000" w:rsidP="00000000" w:rsidRDefault="00000000" w:rsidRPr="00000000" w14:paraId="0000000B">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00C">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Periodo de suministro</w:t>
      </w:r>
    </w:p>
    <w:p w:rsidR="00000000" w:rsidDel="00000000" w:rsidP="00000000" w:rsidRDefault="00000000" w:rsidRPr="00000000" w14:paraId="0000000D">
      <w:pPr>
        <w:widowControl w:val="0"/>
        <w:spacing w:after="0" w:before="236"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00E">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00F">
      <w:pPr>
        <w:widowControl w:val="0"/>
        <w:numPr>
          <w:ilvl w:val="0"/>
          <w:numId w:val="1"/>
        </w:numPr>
        <w:spacing w:after="0" w:before="235"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Precio de la energía</w:t>
      </w:r>
    </w:p>
    <w:p w:rsidR="00000000" w:rsidDel="00000000" w:rsidP="00000000" w:rsidRDefault="00000000" w:rsidRPr="00000000" w14:paraId="00000010">
      <w:pPr>
        <w:widowControl w:val="0"/>
        <w:spacing w:after="0" w:before="235" w:line="231" w:lineRule="auto"/>
        <w:ind w:right="-76"/>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abril de 2025 por kWh, es el indicado en el Anexo No. 3 y 4 de esta oferta, precio que incluye todos los cargos que son responsabilidad del VENDEDOR para la entrega de la energía en el sitio definido en el Parágrafo de la Sección I.</w:t>
      </w: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11">
      <w:pPr>
        <w:widowControl w:val="0"/>
        <w:spacing w:after="0" w:before="235"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012">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013">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014">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015">
      <w:pPr>
        <w:widowControl w:val="0"/>
        <w:spacing w:after="0" w:before="5"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IPPo: Índice de Precios al Productor Serie Oferta Interna, publicado por el DANE o la entidad encargada de tal fin, del mes de referencia abril de 2025.  </w:t>
      </w:r>
    </w:p>
    <w:p w:rsidR="00000000" w:rsidDel="00000000" w:rsidP="00000000" w:rsidRDefault="00000000" w:rsidRPr="00000000" w14:paraId="00000016">
      <w:pPr>
        <w:widowControl w:val="0"/>
        <w:spacing w:after="0" w:before="2"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Precio monomio de suministro de referencia.</w:t>
        <w:br w:type="textWrapping"/>
        <w:t xml:space="preserve">Precio m: Precio a liquidar en el mes de suministro, este precio estará redondeado a dos cifras decimales. </w:t>
      </w:r>
    </w:p>
    <w:p w:rsidR="00000000" w:rsidDel="00000000" w:rsidP="00000000" w:rsidRDefault="00000000" w:rsidRPr="00000000" w14:paraId="00000017">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018">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Forma de pago</w:t>
      </w:r>
    </w:p>
    <w:p w:rsidR="00000000" w:rsidDel="00000000" w:rsidP="00000000" w:rsidRDefault="00000000" w:rsidRPr="00000000" w14:paraId="00000019">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01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01B">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id w:val="1865641183"/>
        <w:tag w:val="goog_rdk_0"/>
      </w:sdtPr>
      <w:sdtContent>
        <w:tbl>
          <w:tblPr>
            <w:tblStyle w:val="Table1"/>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jc w:val="center"/>
                  <w:rPr>
                    <w:rFonts w:ascii="Cambria" w:cs="Cambria" w:eastAsia="Cambria" w:hAnsi="Cambria"/>
                    <w:i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jc w:val="center"/>
                  <w:rPr>
                    <w:rFonts w:ascii="Cambria" w:cs="Cambria" w:eastAsia="Cambria" w:hAnsi="Cambria"/>
                    <w:i w:val="1"/>
                    <w:sz w:val="24"/>
                    <w:szCs w:val="24"/>
                  </w:rPr>
                </w:pPr>
                <w:r w:rsidDel="00000000" w:rsidR="00000000" w:rsidRPr="00000000">
                  <w:rPr>
                    <w:rtl w:val="0"/>
                  </w:rPr>
                </w:r>
              </w:p>
            </w:tc>
          </w:tr>
        </w:tbl>
      </w:sdtContent>
    </w:sdt>
    <w:p w:rsidR="00000000" w:rsidDel="00000000" w:rsidP="00000000" w:rsidRDefault="00000000" w:rsidRPr="00000000" w14:paraId="00000024">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6">
      <w:pPr>
        <w:widowControl w:val="0"/>
        <w:spacing w:after="0" w:line="23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widowControl w:val="0"/>
        <w:numPr>
          <w:ilvl w:val="0"/>
          <w:numId w:val="1"/>
        </w:numPr>
        <w:spacing w:after="0"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Facturación</w:t>
      </w:r>
    </w:p>
    <w:p w:rsidR="00000000" w:rsidDel="00000000" w:rsidP="00000000" w:rsidRDefault="00000000" w:rsidRPr="00000000" w14:paraId="00000028">
      <w:pPr>
        <w:widowControl w:val="0"/>
        <w:spacing w:after="0" w:line="230" w:lineRule="auto"/>
        <w:ind w:right="-76"/>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9">
      <w:pPr>
        <w:widowControl w:val="0"/>
        <w:spacing w:after="0"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02A">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02B">
      <w:pPr>
        <w:widowControl w:val="0"/>
        <w:spacing w:after="0" w:line="231"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02C">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02D">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02E">
      <w:pPr>
        <w:widowControl w:val="0"/>
        <w:spacing w:after="0" w:before="235"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02F">
      <w:pPr>
        <w:widowControl w:val="0"/>
        <w:spacing w:after="0" w:before="233" w:line="23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030">
      <w:pPr>
        <w:widowControl w:val="0"/>
        <w:spacing w:after="0" w:before="233"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031">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Garantías o mecanismos de cobertura</w:t>
      </w:r>
    </w:p>
    <w:p w:rsidR="00000000" w:rsidDel="00000000" w:rsidP="00000000" w:rsidRDefault="00000000" w:rsidRPr="00000000" w14:paraId="00000032">
      <w:pPr>
        <w:widowControl w:val="0"/>
        <w:spacing w:after="0" w:before="236"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033">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en físico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en físico a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w:t>
      </w:r>
    </w:p>
    <w:p w:rsidR="00000000" w:rsidDel="00000000" w:rsidP="00000000" w:rsidRDefault="00000000" w:rsidRPr="00000000" w14:paraId="00000034">
      <w:pPr>
        <w:widowControl w:val="0"/>
        <w:spacing w:after="0" w:before="228"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r w:rsidDel="00000000" w:rsidR="00000000" w:rsidRPr="00000000">
        <w:rPr>
          <w:rtl w:val="0"/>
        </w:rPr>
      </w:r>
    </w:p>
    <w:p w:rsidR="00000000" w:rsidDel="00000000" w:rsidP="00000000" w:rsidRDefault="00000000" w:rsidRPr="00000000" w14:paraId="00000035">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incluir los perjuicios derivados de daño emergente, sin que sea necesario incluir el lucro cesante dentro de la cobertura.</w:t>
      </w:r>
    </w:p>
    <w:p w:rsidR="00000000" w:rsidDel="00000000" w:rsidP="00000000" w:rsidRDefault="00000000" w:rsidRPr="00000000" w14:paraId="00000036">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5% del valor total de la oferta. Para estos efectos, el valor total de la oferta se estimará calculando la cantidad de energía mensual ofertada multiplicada por el precio mensual correspondiente.</w:t>
      </w:r>
    </w:p>
    <w:p w:rsidR="00000000" w:rsidDel="00000000" w:rsidP="00000000" w:rsidRDefault="00000000" w:rsidRPr="00000000" w14:paraId="00000037">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Periodo a Contratar. </w:t>
      </w:r>
    </w:p>
    <w:p w:rsidR="00000000" w:rsidDel="00000000" w:rsidP="00000000" w:rsidRDefault="00000000" w:rsidRPr="00000000" w14:paraId="00000038">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039">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3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w:t>
      </w:r>
    </w:p>
    <w:p w:rsidR="00000000" w:rsidDel="00000000" w:rsidP="00000000" w:rsidRDefault="00000000" w:rsidRPr="00000000" w14:paraId="0000003B">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3C">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3D">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03E">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3F">
      <w:pPr>
        <w:widowControl w:val="0"/>
        <w:shd w:fill="ffffff" w:val="clear"/>
        <w:spacing w:after="0" w:before="228" w:line="23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COMPRADOR</w:t>
      </w:r>
    </w:p>
    <w:p w:rsidR="00000000" w:rsidDel="00000000" w:rsidP="00000000" w:rsidRDefault="00000000" w:rsidRPr="00000000" w14:paraId="00000040">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sz w:val="24"/>
          <w:szCs w:val="24"/>
          <w:rtl w:val="0"/>
        </w:rPr>
        <w:t xml:space="preserve">BIA ENERGY</w:t>
      </w:r>
      <w:r w:rsidDel="00000000" w:rsidR="00000000" w:rsidRPr="00000000">
        <w:rPr>
          <w:rFonts w:ascii="Cambria" w:cs="Cambria" w:eastAsia="Cambria" w:hAnsi="Cambria"/>
          <w:sz w:val="24"/>
          <w:szCs w:val="24"/>
          <w:rtl w:val="0"/>
        </w:rPr>
        <w:t xml:space="preserve"> entregará al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un pagaré en blanco con su carta de instrucciones, ambos documentos en físico, que contemple los elementos previstos en el Anexo No. 5 dentro de los diez (10) días hábiles siguientes a la emisión de la orden de compra. </w:t>
      </w:r>
    </w:p>
    <w:p w:rsidR="00000000" w:rsidDel="00000000" w:rsidP="00000000" w:rsidRDefault="00000000" w:rsidRPr="00000000" w14:paraId="00000041">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otorgará a favor del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una garantía bancaria o pagar de forma anticipada la energía, con las siguientes condiciones específicas:</w:t>
      </w:r>
    </w:p>
    <w:p w:rsidR="00000000" w:rsidDel="00000000" w:rsidP="00000000" w:rsidRDefault="00000000" w:rsidRPr="00000000" w14:paraId="00000043">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Condiciones específicas de Garantía Bancaria</w:t>
      </w:r>
      <w:r w:rsidDel="00000000" w:rsidR="00000000" w:rsidRPr="00000000">
        <w:rPr>
          <w:rtl w:val="0"/>
        </w:rPr>
      </w:r>
    </w:p>
    <w:p w:rsidR="00000000" w:rsidDel="00000000" w:rsidP="00000000" w:rsidRDefault="00000000" w:rsidRPr="00000000" w14:paraId="00000045">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los perjuicios derivados del incumplimiento en la obligación de pago de la energía contratada. </w:t>
      </w:r>
    </w:p>
    <w:p w:rsidR="00000000" w:rsidDel="00000000" w:rsidP="00000000" w:rsidRDefault="00000000" w:rsidRPr="00000000" w14:paraId="00000046">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deberá amparar una suma equivalente a 2.5 veces el suministro mensual promedio de energía aceptada del periodo o año a garantizar.</w:t>
      </w:r>
    </w:p>
    <w:p w:rsidR="00000000" w:rsidDel="00000000" w:rsidP="00000000" w:rsidRDefault="00000000" w:rsidRPr="00000000" w14:paraId="00000047">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de pago será desde el inicio del suministro hasta dos (2) meses después de finalizado el plazo de ejecución.</w:t>
      </w:r>
    </w:p>
    <w:p w:rsidR="00000000" w:rsidDel="00000000" w:rsidP="00000000" w:rsidRDefault="00000000" w:rsidRPr="00000000" w14:paraId="00000048">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deberá entregarse al </w:t>
      </w:r>
      <w:r w:rsidDel="00000000" w:rsidR="00000000" w:rsidRPr="00000000">
        <w:rPr>
          <w:rFonts w:ascii="Cambria" w:cs="Cambria" w:eastAsia="Cambria" w:hAnsi="Cambria"/>
          <w:b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 </w:t>
      </w:r>
    </w:p>
    <w:p w:rsidR="00000000" w:rsidDel="00000000" w:rsidP="00000000" w:rsidRDefault="00000000" w:rsidRPr="00000000" w14:paraId="00000049">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4A">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04B">
      <w:pPr>
        <w:widowControl w:val="0"/>
        <w:shd w:fill="ffffff" w:val="clear"/>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garantía bancaria a cargo del BIA ENERGY</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br w:type="textWrapping"/>
      </w:r>
    </w:p>
    <w:p w:rsidR="00000000" w:rsidDel="00000000" w:rsidP="00000000" w:rsidRDefault="00000000" w:rsidRPr="00000000" w14:paraId="0000004C">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sea constituida por anualidades, sus renovaciones o reemplazo deberá ser constituida y entregada al VENDEDOR con por lo menos treinta (30) días calendario antes del vencimiento de la vigencia de la garantía a renovar.</w:t>
      </w:r>
    </w:p>
    <w:p w:rsidR="00000000" w:rsidDel="00000000" w:rsidP="00000000" w:rsidRDefault="00000000" w:rsidRPr="00000000" w14:paraId="0000004D">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4F">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w:t>
      </w:r>
    </w:p>
    <w:p w:rsidR="00000000" w:rsidDel="00000000" w:rsidP="00000000" w:rsidRDefault="00000000" w:rsidRPr="00000000" w14:paraId="00000051">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spacing w:after="0" w:line="240" w:lineRule="auto"/>
        <w:ind w:left="-90" w:firstLine="0"/>
        <w:jc w:val="both"/>
        <w:rPr>
          <w:rFonts w:ascii="Cambria" w:cs="Cambria" w:eastAsia="Cambria" w:hAnsi="Cambria"/>
          <w:sz w:val="24"/>
          <w:szCs w:val="24"/>
          <w:shd w:fill="ffe599" w:val="clear"/>
        </w:rPr>
      </w:pPr>
      <w:r w:rsidDel="00000000" w:rsidR="00000000" w:rsidRPr="00000000">
        <w:rPr>
          <w:rFonts w:ascii="Cambria" w:cs="Cambria" w:eastAsia="Cambria" w:hAnsi="Cambria"/>
          <w:sz w:val="24"/>
          <w:szCs w:val="24"/>
          <w:rtl w:val="0"/>
        </w:rPr>
        <w:t xml:space="preserve">En caso de que se presenten situaciones sobrevinientes posteriores al perfeccionamiento del Negocio Jurídico o la CREG o cualquier autoridad competente, expida regulación asociada al cumplimiento de la relación jurídica surgida de esta oferta que afecte el cumplimiento, </w:t>
      </w:r>
      <w:r w:rsidDel="00000000" w:rsidR="00000000" w:rsidRPr="00000000">
        <w:rPr>
          <w:rFonts w:ascii="Cambria" w:cs="Cambria" w:eastAsia="Cambria" w:hAnsi="Cambria"/>
          <w:b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r w:rsidDel="00000000" w:rsidR="00000000" w:rsidRPr="00000000">
        <w:rPr>
          <w:rtl w:val="0"/>
        </w:rPr>
      </w:r>
    </w:p>
    <w:p w:rsidR="00000000" w:rsidDel="00000000" w:rsidP="00000000" w:rsidRDefault="00000000" w:rsidRPr="00000000" w14:paraId="00000053">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055">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sidR="00000000" w:rsidDel="00000000" w:rsidP="00000000" w:rsidRDefault="00000000" w:rsidRPr="00000000" w14:paraId="00000056">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Condición suspensiva</w:t>
      </w:r>
    </w:p>
    <w:p w:rsidR="00000000" w:rsidDel="00000000" w:rsidP="00000000" w:rsidRDefault="00000000" w:rsidRPr="00000000" w14:paraId="00000057">
      <w:pPr>
        <w:keepNext w:val="1"/>
        <w:keepLines w:val="1"/>
        <w:spacing w:after="240" w:before="240" w:lineRule="auto"/>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El perfeccionamiento jurídico de la oferta está sujeto a la condición suspensiva del registro del Negocio Jurídico de acuerdo con lo previsto en la Sección XXIV de la presente oferta.</w:t>
      </w:r>
      <w:r w:rsidDel="00000000" w:rsidR="00000000" w:rsidRPr="00000000">
        <w:rPr>
          <w:rtl w:val="0"/>
        </w:rPr>
      </w:r>
    </w:p>
    <w:p w:rsidR="00000000" w:rsidDel="00000000" w:rsidP="00000000" w:rsidRDefault="00000000" w:rsidRPr="00000000" w14:paraId="00000058">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Incumplimiento y estimación anticipada de perjuicios</w:t>
      </w:r>
    </w:p>
    <w:p w:rsidR="00000000" w:rsidDel="00000000" w:rsidP="00000000" w:rsidRDefault="00000000" w:rsidRPr="00000000" w14:paraId="00000059">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05A">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rsidR="00000000" w:rsidDel="00000000" w:rsidP="00000000" w:rsidRDefault="00000000" w:rsidRPr="00000000" w14:paraId="0000005B">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w:t>
      </w:r>
    </w:p>
    <w:p w:rsidR="00000000" w:rsidDel="00000000" w:rsidP="00000000" w:rsidRDefault="00000000" w:rsidRPr="00000000" w14:paraId="0000005C">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05D">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del mismo.</w:t>
      </w:r>
    </w:p>
    <w:p w:rsidR="00000000" w:rsidDel="00000000" w:rsidP="00000000" w:rsidRDefault="00000000" w:rsidRPr="00000000" w14:paraId="0000005E">
      <w:pPr>
        <w:widowControl w:val="0"/>
        <w:spacing w:after="0" w:before="228"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05F">
      <w:pPr>
        <w:widowControl w:val="0"/>
        <w:spacing w:after="0" w:before="228" w:line="230" w:lineRule="auto"/>
        <w:ind w:left="-90" w:right="-76" w:firstLine="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rtl w:val="0"/>
        </w:rPr>
        <w:t xml:space="preserve">Parágrafo.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060">
      <w:pPr>
        <w:widowControl w:val="0"/>
        <w:numPr>
          <w:ilvl w:val="0"/>
          <w:numId w:val="1"/>
        </w:numPr>
        <w:spacing w:after="0" w:before="228"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Terminación anticipada del Negocio Jurídico</w:t>
      </w:r>
    </w:p>
    <w:p w:rsidR="00000000" w:rsidDel="00000000" w:rsidP="00000000" w:rsidRDefault="00000000" w:rsidRPr="00000000" w14:paraId="00000061">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del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062">
      <w:pPr>
        <w:widowControl w:val="0"/>
        <w:spacing w:after="0" w:before="235" w:line="230" w:lineRule="auto"/>
        <w:ind w:left="-90" w:right="-76" w:firstLine="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rtl w:val="0"/>
        </w:rPr>
        <w:t xml:space="preserve">Parágrafo.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063">
      <w:pPr>
        <w:widowControl w:val="0"/>
        <w:numPr>
          <w:ilvl w:val="0"/>
          <w:numId w:val="1"/>
        </w:numPr>
        <w:spacing w:after="0" w:before="228"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Cesión</w:t>
      </w:r>
    </w:p>
    <w:p w:rsidR="00000000" w:rsidDel="00000000" w:rsidP="00000000" w:rsidRDefault="00000000" w:rsidRPr="00000000" w14:paraId="00000064">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065">
      <w:pPr>
        <w:widowControl w:val="0"/>
        <w:spacing w:after="0" w:before="233"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066">
      <w:pPr>
        <w:widowControl w:val="0"/>
        <w:spacing w:after="0"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068">
      <w:pPr>
        <w:widowControl w:val="0"/>
        <w:spacing w:after="0" w:line="231"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9">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06A">
      <w:pPr>
        <w:widowControl w:val="0"/>
        <w:spacing w:after="0" w:line="231" w:lineRule="auto"/>
        <w:ind w:left="-90" w:right="-76" w:firstLine="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B">
      <w:pPr>
        <w:widowControl w:val="0"/>
        <w:spacing w:after="0"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06C">
      <w:pPr>
        <w:widowControl w:val="0"/>
        <w:spacing w:after="0" w:line="231"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widowControl w:val="0"/>
        <w:spacing w:after="0" w:line="231" w:lineRule="auto"/>
        <w:ind w:left="-90" w:right="-76" w:firstLine="0"/>
        <w:jc w:val="both"/>
        <w:rPr>
          <w:rFonts w:ascii="Cambria" w:cs="Cambria" w:eastAsia="Cambria" w:hAnsi="Cambria"/>
          <w:b w:val="1"/>
          <w:color w:val="444746"/>
          <w:sz w:val="24"/>
          <w:szCs w:val="24"/>
        </w:rPr>
      </w:pPr>
      <w:r w:rsidDel="00000000" w:rsidR="00000000" w:rsidRPr="00000000">
        <w:rPr>
          <w:rFonts w:ascii="Cambria" w:cs="Cambria" w:eastAsia="Cambria" w:hAnsi="Cambria"/>
          <w:b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color w:val="444746"/>
          <w:sz w:val="24"/>
          <w:szCs w:val="24"/>
          <w:rtl w:val="0"/>
        </w:rPr>
        <w:t xml:space="preserve">.</w:t>
      </w:r>
    </w:p>
    <w:p w:rsidR="00000000" w:rsidDel="00000000" w:rsidP="00000000" w:rsidRDefault="00000000" w:rsidRPr="00000000" w14:paraId="0000006E">
      <w:pPr>
        <w:widowControl w:val="0"/>
        <w:numPr>
          <w:ilvl w:val="0"/>
          <w:numId w:val="1"/>
        </w:numPr>
        <w:spacing w:after="0" w:before="233" w:line="231" w:lineRule="auto"/>
        <w:ind w:left="720" w:right="-76" w:hanging="360"/>
        <w:jc w:val="both"/>
        <w:rPr>
          <w:rFonts w:ascii="Cambria" w:cs="Cambria" w:eastAsia="Cambria" w:hAnsi="Cambria"/>
          <w:b w:val="1"/>
          <w:color w:val="444746"/>
          <w:sz w:val="24"/>
          <w:szCs w:val="24"/>
        </w:rPr>
      </w:pPr>
      <w:r w:rsidDel="00000000" w:rsidR="00000000" w:rsidRPr="00000000">
        <w:rPr>
          <w:rFonts w:ascii="Cambria" w:cs="Cambria" w:eastAsia="Cambria" w:hAnsi="Cambria"/>
          <w:b w:val="1"/>
          <w:sz w:val="24"/>
          <w:szCs w:val="24"/>
          <w:rtl w:val="0"/>
        </w:rPr>
        <w:t xml:space="preserve">Fuerza mayor y caso fortuito</w:t>
      </w:r>
      <w:r w:rsidDel="00000000" w:rsidR="00000000" w:rsidRPr="00000000">
        <w:rPr>
          <w:rtl w:val="0"/>
        </w:rPr>
      </w:r>
    </w:p>
    <w:p w:rsidR="00000000" w:rsidDel="00000000" w:rsidP="00000000" w:rsidRDefault="00000000" w:rsidRPr="00000000" w14:paraId="0000006F">
      <w:pPr>
        <w:widowControl w:val="0"/>
        <w:spacing w:after="0" w:before="233"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ii) el no suministro de energía por limitaciones en las redes de transmisión y/o distribución; iii)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rsidR="00000000" w:rsidDel="00000000" w:rsidP="00000000" w:rsidRDefault="00000000" w:rsidRPr="00000000" w14:paraId="00000070">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Solución de controversias</w:t>
      </w:r>
    </w:p>
    <w:p w:rsidR="00000000" w:rsidDel="00000000" w:rsidP="00000000" w:rsidRDefault="00000000" w:rsidRPr="00000000" w14:paraId="00000071">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072">
      <w:pPr>
        <w:widowControl w:val="0"/>
        <w:spacing w:after="0" w:before="233"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inferior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073">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074">
      <w:pPr>
        <w:widowControl w:val="0"/>
        <w:spacing w:after="0" w:before="235" w:line="23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75">
      <w:pPr>
        <w:widowControl w:val="0"/>
        <w:numPr>
          <w:ilvl w:val="0"/>
          <w:numId w:val="1"/>
        </w:numPr>
        <w:spacing w:after="0" w:before="235" w:line="230" w:lineRule="auto"/>
        <w:ind w:left="720" w:right="-76" w:hanging="360"/>
        <w:jc w:val="both"/>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highlight w:val="white"/>
          <w:rtl w:val="0"/>
        </w:rPr>
        <w:t xml:space="preserve">Liquidación</w:t>
      </w:r>
    </w:p>
    <w:p w:rsidR="00000000" w:rsidDel="00000000" w:rsidP="00000000" w:rsidRDefault="00000000" w:rsidRPr="00000000" w14:paraId="00000076">
      <w:pPr>
        <w:widowControl w:val="0"/>
        <w:spacing w:after="0" w:before="236" w:line="23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077">
      <w:pPr>
        <w:widowControl w:val="0"/>
        <w:numPr>
          <w:ilvl w:val="0"/>
          <w:numId w:val="1"/>
        </w:numPr>
        <w:spacing w:after="0" w:before="236"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highlight w:val="white"/>
          <w:rtl w:val="0"/>
        </w:rPr>
        <w:t xml:space="preserve">Legislación aplicable</w:t>
      </w:r>
      <w:r w:rsidDel="00000000" w:rsidR="00000000" w:rsidRPr="00000000">
        <w:rPr>
          <w:rtl w:val="0"/>
        </w:rPr>
      </w:r>
    </w:p>
    <w:p w:rsidR="00000000" w:rsidDel="00000000" w:rsidP="00000000" w:rsidRDefault="00000000" w:rsidRPr="00000000" w14:paraId="00000078">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079">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Negocio Jurídico, será asumida por la Parte sobre la cual recaiga según la ley. </w:t>
      </w:r>
    </w:p>
    <w:p w:rsidR="00000000" w:rsidDel="00000000" w:rsidP="00000000" w:rsidRDefault="00000000" w:rsidRPr="00000000" w14:paraId="0000007A">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07B">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07C">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07D">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Protección de datos personales </w:t>
      </w:r>
    </w:p>
    <w:p w:rsidR="00000000" w:rsidDel="00000000" w:rsidP="00000000" w:rsidRDefault="00000000" w:rsidRPr="00000000" w14:paraId="0000007E">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07F">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080">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Origen de ingresos</w:t>
      </w:r>
    </w:p>
    <w:p w:rsidR="00000000" w:rsidDel="00000000" w:rsidP="00000000" w:rsidRDefault="00000000" w:rsidRPr="00000000" w14:paraId="00000081">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rsidR="00000000" w:rsidDel="00000000" w:rsidP="00000000" w:rsidRDefault="00000000" w:rsidRPr="00000000" w14:paraId="00000082">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Cumplimiento de normatividad anticorrupción y prevención de lavado de activos</w:t>
      </w:r>
    </w:p>
    <w:p w:rsidR="00000000" w:rsidDel="00000000" w:rsidP="00000000" w:rsidRDefault="00000000" w:rsidRPr="00000000" w14:paraId="00000083">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del presente oferta, con fundamento en los principios de honestidad, eficiencia, eficacia y legalidad, y respetar la normativa aplicable incorporada en el ordenamiento jurídico nacional en materia de actos contra la corrupción, lavado de activos y financiación del terrorismo. Las Partes certifican que, a la fecha de perfeccionamiento de la presente relación jurídica, no están incluidas en listas de control (entre otras, OFAC), no tienen conocimiento que se encuentran vinculadas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p>
    <w:p w:rsidR="00000000" w:rsidDel="00000000" w:rsidP="00000000" w:rsidRDefault="00000000" w:rsidRPr="00000000" w14:paraId="00000084">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085">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r>
    </w:p>
    <w:p w:rsidR="00000000" w:rsidDel="00000000" w:rsidP="00000000" w:rsidRDefault="00000000" w:rsidRPr="00000000" w14:paraId="00000086">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Tributos</w:t>
      </w:r>
    </w:p>
    <w:p w:rsidR="00000000" w:rsidDel="00000000" w:rsidP="00000000" w:rsidRDefault="00000000" w:rsidRPr="00000000" w14:paraId="00000087">
      <w:pPr>
        <w:widowControl w:val="0"/>
        <w:spacing w:after="0" w:before="235"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al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timbre.</w:t>
      </w:r>
    </w:p>
    <w:p w:rsidR="00000000" w:rsidDel="00000000" w:rsidP="00000000" w:rsidRDefault="00000000" w:rsidRPr="00000000" w14:paraId="00000088">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Conflicto de interés</w:t>
      </w:r>
    </w:p>
    <w:p w:rsidR="00000000" w:rsidDel="00000000" w:rsidP="00000000" w:rsidRDefault="00000000" w:rsidRPr="00000000" w14:paraId="00000089">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08A">
      <w:pPr>
        <w:widowControl w:val="0"/>
        <w:numPr>
          <w:ilvl w:val="0"/>
          <w:numId w:val="1"/>
        </w:numPr>
        <w:spacing w:after="0" w:before="235" w:line="230"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Respeto a los derechos humanos</w:t>
      </w:r>
    </w:p>
    <w:p w:rsidR="00000000" w:rsidDel="00000000" w:rsidP="00000000" w:rsidRDefault="00000000" w:rsidRPr="00000000" w14:paraId="0000008B">
      <w:pPr>
        <w:widowControl w:val="0"/>
        <w:spacing w:after="0" w:before="235"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08C">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Remisión a pliegos de condiciones</w:t>
      </w:r>
    </w:p>
    <w:p w:rsidR="00000000" w:rsidDel="00000000" w:rsidP="00000000" w:rsidRDefault="00000000" w:rsidRPr="00000000" w14:paraId="0000008D">
      <w:pPr>
        <w:widowControl w:val="0"/>
        <w:spacing w:after="0" w:before="236" w:line="231"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aspecto no contemplado expresamente en la presente oferta, se regirá en su integridad por lo previsto en los Pliegos de Condiciones definitivos de la Invitación a Ofrecer de la referencia.</w:t>
      </w:r>
    </w:p>
    <w:p w:rsidR="00000000" w:rsidDel="00000000" w:rsidP="00000000" w:rsidRDefault="00000000" w:rsidRPr="00000000" w14:paraId="0000008E">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Validez de la oferta</w:t>
      </w:r>
    </w:p>
    <w:p w:rsidR="00000000" w:rsidDel="00000000" w:rsidP="00000000" w:rsidRDefault="00000000" w:rsidRPr="00000000" w14:paraId="0000008F">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 oferta tendrá validez hasta el día 16 de septiembre de 2025, fecha al cabo de la cual si BIA ENERGY no ha adjudicado y emitido la correspondiente orden de compra, se entenderá rechazada.</w:t>
      </w:r>
    </w:p>
    <w:p w:rsidR="00000000" w:rsidDel="00000000" w:rsidP="00000000" w:rsidRDefault="00000000" w:rsidRPr="00000000" w14:paraId="00000090">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Aceptación de la oferta</w:t>
      </w:r>
    </w:p>
    <w:p w:rsidR="00000000" w:rsidDel="00000000" w:rsidP="00000000" w:rsidRDefault="00000000" w:rsidRPr="00000000" w14:paraId="00000091">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implicará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092">
      <w:pPr>
        <w:widowControl w:val="0"/>
        <w:spacing w:after="0" w:before="236" w:line="23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suscritos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093">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Registro del Negocio Jurídico</w:t>
      </w:r>
    </w:p>
    <w:p w:rsidR="00000000" w:rsidDel="00000000" w:rsidP="00000000" w:rsidRDefault="00000000" w:rsidRPr="00000000" w14:paraId="00000094">
      <w:pPr>
        <w:widowControl w:val="0"/>
        <w:spacing w:after="0" w:before="236" w:line="23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095">
      <w:pPr>
        <w:widowControl w:val="0"/>
        <w:numPr>
          <w:ilvl w:val="0"/>
          <w:numId w:val="1"/>
        </w:numPr>
        <w:spacing w:after="0" w:before="236" w:line="231" w:lineRule="auto"/>
        <w:ind w:left="720" w:right="-76" w:hanging="36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Comunicaciones y notificaciones</w:t>
      </w:r>
    </w:p>
    <w:p w:rsidR="00000000" w:rsidDel="00000000" w:rsidP="00000000" w:rsidRDefault="00000000" w:rsidRPr="00000000" w14:paraId="00000096">
      <w:pPr>
        <w:widowControl w:val="0"/>
        <w:spacing w:after="0" w:before="236" w:line="231"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097">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098">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099">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09A">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09B">
      <w:pPr>
        <w:shd w:fill="ffffff" w:val="clear"/>
        <w:spacing w:after="0" w:line="252.00000000000003" w:lineRule="auto"/>
        <w:ind w:left="0" w:firstLine="0"/>
        <w:jc w:val="both"/>
        <w:rPr>
          <w:rFonts w:ascii="Cambria" w:cs="Cambria" w:eastAsia="Cambria" w:hAnsi="Cambria"/>
          <w:i w:val="1"/>
          <w:color w:val="222222"/>
          <w:sz w:val="24"/>
          <w:szCs w:val="24"/>
        </w:rPr>
      </w:pPr>
      <w:r w:rsidDel="00000000" w:rsidR="00000000" w:rsidRPr="00000000">
        <w:rPr>
          <w:rtl w:val="0"/>
        </w:rPr>
      </w:r>
    </w:p>
    <w:p w:rsidR="00000000" w:rsidDel="00000000" w:rsidP="00000000" w:rsidRDefault="00000000" w:rsidRPr="00000000" w14:paraId="0000009C">
      <w:pPr>
        <w:numPr>
          <w:ilvl w:val="0"/>
          <w:numId w:val="1"/>
        </w:numPr>
        <w:shd w:fill="ffffff" w:val="clear"/>
        <w:spacing w:after="0" w:line="252.00000000000003" w:lineRule="auto"/>
        <w:ind w:left="720" w:hanging="360"/>
        <w:jc w:val="both"/>
        <w:rPr>
          <w:rFonts w:ascii="Cambria" w:cs="Cambria" w:eastAsia="Cambria" w:hAnsi="Cambria"/>
          <w:b w:val="1"/>
          <w:color w:val="222222"/>
          <w:sz w:val="24"/>
          <w:szCs w:val="24"/>
        </w:rPr>
      </w:pPr>
      <w:r w:rsidDel="00000000" w:rsidR="00000000" w:rsidRPr="00000000">
        <w:rPr>
          <w:rFonts w:ascii="Cambria" w:cs="Cambria" w:eastAsia="Cambria" w:hAnsi="Cambria"/>
          <w:b w:val="1"/>
          <w:sz w:val="24"/>
          <w:szCs w:val="24"/>
          <w:rtl w:val="0"/>
        </w:rPr>
        <w:t xml:space="preserve">Compromiso en contra del trabajo infantil y condiciones de trabajo forzoso</w:t>
      </w:r>
      <w:r w:rsidDel="00000000" w:rsidR="00000000" w:rsidRPr="00000000">
        <w:rPr>
          <w:rtl w:val="0"/>
        </w:rPr>
      </w:r>
    </w:p>
    <w:p w:rsidR="00000000" w:rsidDel="00000000" w:rsidP="00000000" w:rsidRDefault="00000000" w:rsidRPr="00000000" w14:paraId="0000009D">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09F">
      <w:pPr>
        <w:shd w:fill="ffffff" w:val="clear"/>
        <w:spacing w:after="0" w:line="252.00000000000003"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A0">
      <w:pPr>
        <w:numPr>
          <w:ilvl w:val="0"/>
          <w:numId w:val="1"/>
        </w:numPr>
        <w:shd w:fill="ffffff" w:val="clear"/>
        <w:spacing w:after="0" w:line="252.00000000000003" w:lineRule="auto"/>
        <w:ind w:left="720" w:hanging="360"/>
        <w:jc w:val="both"/>
        <w:rPr>
          <w:rFonts w:ascii="Cambria" w:cs="Cambria" w:eastAsia="Cambria" w:hAnsi="Cambria"/>
          <w:b w:val="1"/>
          <w:color w:val="222222"/>
          <w:sz w:val="24"/>
          <w:szCs w:val="24"/>
        </w:rPr>
      </w:pPr>
      <w:r w:rsidDel="00000000" w:rsidR="00000000" w:rsidRPr="00000000">
        <w:rPr>
          <w:rFonts w:ascii="Cambria" w:cs="Cambria" w:eastAsia="Cambria" w:hAnsi="Cambria"/>
          <w:b w:val="1"/>
          <w:sz w:val="24"/>
          <w:szCs w:val="24"/>
          <w:rtl w:val="0"/>
        </w:rPr>
        <w:t xml:space="preserve">Buenas prácticas en temas de salud y seguridad en el trabajo.</w:t>
      </w:r>
      <w:r w:rsidDel="00000000" w:rsidR="00000000" w:rsidRPr="00000000">
        <w:rPr>
          <w:rtl w:val="0"/>
        </w:rPr>
      </w:r>
    </w:p>
    <w:p w:rsidR="00000000" w:rsidDel="00000000" w:rsidP="00000000" w:rsidRDefault="00000000" w:rsidRPr="00000000" w14:paraId="000000A1">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shd w:fill="ffffff" w:val="clear"/>
        <w:spacing w:after="0" w:line="252.00000000000003"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0A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0A5">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0A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0A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0BB">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PAGARÉ BIA COMO ACREEDOR</w:t>
      </w:r>
      <w:r w:rsidDel="00000000" w:rsidR="00000000" w:rsidRPr="00000000">
        <w:rPr>
          <w:rtl w:val="0"/>
        </w:rPr>
      </w:r>
    </w:p>
    <w:p w:rsidR="00000000" w:rsidDel="00000000" w:rsidP="00000000" w:rsidRDefault="00000000" w:rsidRPr="00000000" w14:paraId="000000BD">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spacing w:after="0" w:line="240" w:lineRule="auto"/>
        <w:jc w:val="center"/>
        <w:rPr>
          <w:rFonts w:ascii="Cambria" w:cs="Cambria" w:eastAsia="Cambria" w:hAnsi="Cambria"/>
          <w:sz w:val="24"/>
          <w:szCs w:val="24"/>
        </w:rPr>
        <w:sectPr>
          <w:headerReference r:id="rId9" w:type="default"/>
          <w:headerReference r:id="rId10" w:type="first"/>
          <w:footerReference r:id="rId11"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sz w:val="24"/>
          <w:szCs w:val="24"/>
          <w:rtl w:val="0"/>
        </w:rPr>
        <w:t xml:space="preserve">PAGARÉ No. [XXXX]</w:t>
      </w:r>
      <w:r w:rsidDel="00000000" w:rsidR="00000000" w:rsidRPr="00000000">
        <w:rPr>
          <w:rtl w:val="0"/>
        </w:rPr>
      </w:r>
    </w:p>
    <w:p w:rsidR="00000000" w:rsidDel="00000000" w:rsidP="00000000" w:rsidRDefault="00000000" w:rsidRPr="00000000" w14:paraId="000000BF">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C0">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C1">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 - DEUDOR</w:t>
      </w:r>
      <w:r w:rsidDel="00000000" w:rsidR="00000000" w:rsidRPr="00000000">
        <w:rPr>
          <w:rtl w:val="0"/>
        </w:rPr>
      </w:r>
    </w:p>
    <w:p w:rsidR="00000000" w:rsidDel="00000000" w:rsidP="00000000" w:rsidRDefault="00000000" w:rsidRPr="00000000" w14:paraId="000000C2">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0C3">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0C4">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0C5">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0C6">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Negocio Jurídico; b) Cuando</w:t>
      </w:r>
      <w:r w:rsidDel="00000000" w:rsidR="00000000" w:rsidRPr="00000000">
        <w:rPr>
          <w:rFonts w:ascii="Cambria" w:cs="Cambria" w:eastAsia="Cambria" w:hAnsi="Cambria"/>
          <w:b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0C7">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0C8">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0C9">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0CA">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0CB">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0CC">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0CD">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veinticinco (2025).  </w:t>
      </w:r>
    </w:p>
    <w:p w:rsidR="00000000" w:rsidDel="00000000" w:rsidP="00000000" w:rsidRDefault="00000000" w:rsidRPr="00000000" w14:paraId="000000CE">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0CF">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[EMPRESA]</w:t>
      </w:r>
      <w:r w:rsidDel="00000000" w:rsidR="00000000" w:rsidRPr="00000000">
        <w:rPr>
          <w:rtl w:val="0"/>
        </w:rPr>
      </w:r>
    </w:p>
    <w:p w:rsidR="00000000" w:rsidDel="00000000" w:rsidP="00000000" w:rsidRDefault="00000000" w:rsidRPr="00000000" w14:paraId="000000D0">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DEUDOR</w:t>
      </w:r>
      <w:r w:rsidDel="00000000" w:rsidR="00000000" w:rsidRPr="00000000">
        <w:rPr>
          <w:rtl w:val="0"/>
        </w:rPr>
      </w:r>
    </w:p>
    <w:p w:rsidR="00000000" w:rsidDel="00000000" w:rsidP="00000000" w:rsidRDefault="00000000" w:rsidRPr="00000000" w14:paraId="000000D1">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0D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B">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0EC">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ED">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EE">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[XXXX] - DEUDOR</w:t>
      </w:r>
      <w:r w:rsidDel="00000000" w:rsidR="00000000" w:rsidRPr="00000000">
        <w:rPr>
          <w:rtl w:val="0"/>
        </w:rPr>
      </w:r>
    </w:p>
    <w:p w:rsidR="00000000" w:rsidDel="00000000" w:rsidP="00000000" w:rsidRDefault="00000000" w:rsidRPr="00000000" w14:paraId="000000EF">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widowControl w:val="0"/>
        <w:spacing w:after="0" w:before="8" w:line="249"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0F1">
      <w:pPr>
        <w:widowControl w:val="0"/>
        <w:spacing w:after="0" w:before="273" w:line="261"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 la Sección VIII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0F2">
      <w:pPr>
        <w:widowControl w:val="0"/>
        <w:spacing w:after="0" w:before="270" w:line="25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0F3">
      <w:pPr>
        <w:widowControl w:val="0"/>
        <w:spacing w:after="0" w:before="275" w:line="249"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sz w:val="24"/>
          <w:szCs w:val="24"/>
          <w:rtl w:val="0"/>
        </w:rPr>
        <w:t xml:space="preserve"> </w:t>
      </w:r>
      <w:r w:rsidDel="00000000" w:rsidR="00000000" w:rsidRPr="00000000">
        <w:rPr>
          <w:rtl w:val="0"/>
        </w:rPr>
      </w:r>
    </w:p>
    <w:p w:rsidR="00000000" w:rsidDel="00000000" w:rsidP="00000000" w:rsidRDefault="00000000" w:rsidRPr="00000000" w14:paraId="000000F4">
      <w:pPr>
        <w:widowControl w:val="0"/>
        <w:spacing w:after="0" w:before="273" w:line="249"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0F5">
      <w:pPr>
        <w:widowControl w:val="0"/>
        <w:spacing w:after="0" w:before="275" w:line="248.00000000000006"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0F6">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veinticinco (2025).  </w:t>
      </w:r>
    </w:p>
    <w:p w:rsidR="00000000" w:rsidDel="00000000" w:rsidP="00000000" w:rsidRDefault="00000000" w:rsidRPr="00000000" w14:paraId="000000F7">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0F8">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[EMPRESA]</w:t>
      </w:r>
      <w:r w:rsidDel="00000000" w:rsidR="00000000" w:rsidRPr="00000000">
        <w:rPr>
          <w:rtl w:val="0"/>
        </w:rPr>
      </w:r>
    </w:p>
    <w:p w:rsidR="00000000" w:rsidDel="00000000" w:rsidP="00000000" w:rsidRDefault="00000000" w:rsidRPr="00000000" w14:paraId="000000F9">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DEUDOR</w:t>
      </w:r>
      <w:r w:rsidDel="00000000" w:rsidR="00000000" w:rsidRPr="00000000">
        <w:rPr>
          <w:rtl w:val="0"/>
        </w:rPr>
      </w:r>
    </w:p>
    <w:p w:rsidR="00000000" w:rsidDel="00000000" w:rsidP="00000000" w:rsidRDefault="00000000" w:rsidRPr="00000000" w14:paraId="000000FA">
      <w:pPr>
        <w:widowControl w:val="0"/>
        <w:spacing w:after="0" w:before="21" w:line="240" w:lineRule="auto"/>
        <w:ind w:left="1393"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[Nombre de representante legal]</w:t>
      </w:r>
    </w:p>
    <w:p w:rsidR="00000000" w:rsidDel="00000000" w:rsidP="00000000" w:rsidRDefault="00000000" w:rsidRPr="00000000" w14:paraId="000000FB">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C">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D">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E">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1">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3">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4">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6">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8">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9">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A">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B">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C">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D">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E">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0">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1">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2">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3">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4">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5">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6">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7">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8">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9">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PAGARÉ BIA COMO DEUDOR</w:t>
      </w:r>
    </w:p>
    <w:p w:rsidR="00000000" w:rsidDel="00000000" w:rsidP="00000000" w:rsidRDefault="00000000" w:rsidRPr="00000000" w14:paraId="0000011A">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B">
      <w:pPr>
        <w:spacing w:after="0" w:line="240" w:lineRule="auto"/>
        <w:jc w:val="center"/>
        <w:rPr>
          <w:rFonts w:ascii="Cambria" w:cs="Cambria" w:eastAsia="Cambria" w:hAnsi="Cambria"/>
          <w:sz w:val="24"/>
          <w:szCs w:val="24"/>
        </w:rPr>
        <w:sectPr>
          <w:headerReference r:id="rId12" w:type="default"/>
          <w:type w:val="continuous"/>
          <w:pgSz w:h="15840" w:w="12240" w:orient="portrait"/>
          <w:pgMar w:bottom="1418" w:top="1701" w:left="12" w:right="780" w:header="708" w:footer="708"/>
        </w:sectPr>
      </w:pPr>
      <w:r w:rsidDel="00000000" w:rsidR="00000000" w:rsidRPr="00000000">
        <w:rPr>
          <w:rFonts w:ascii="Cambria" w:cs="Cambria" w:eastAsia="Cambria" w:hAnsi="Cambria"/>
          <w:b w:val="1"/>
          <w:sz w:val="24"/>
          <w:szCs w:val="24"/>
          <w:rtl w:val="0"/>
        </w:rPr>
        <w:t xml:space="preserve">PAGARÉ No. [XXXX]</w:t>
      </w:r>
      <w:r w:rsidDel="00000000" w:rsidR="00000000" w:rsidRPr="00000000">
        <w:rPr>
          <w:rtl w:val="0"/>
        </w:rPr>
      </w:r>
    </w:p>
    <w:p w:rsidR="00000000" w:rsidDel="00000000" w:rsidP="00000000" w:rsidRDefault="00000000" w:rsidRPr="00000000" w14:paraId="0000011C">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1D">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11E">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[XXXX] NIT: [XXX] - ACREEDOR</w:t>
      </w:r>
      <w:r w:rsidDel="00000000" w:rsidR="00000000" w:rsidRPr="00000000">
        <w:rPr>
          <w:rtl w:val="0"/>
        </w:rPr>
      </w:r>
    </w:p>
    <w:p w:rsidR="00000000" w:rsidDel="00000000" w:rsidP="00000000" w:rsidRDefault="00000000" w:rsidRPr="00000000" w14:paraId="0000011F">
      <w:pPr>
        <w:widowControl w:val="0"/>
        <w:spacing w:after="0" w:before="21" w:line="240" w:lineRule="auto"/>
        <w:ind w:left="1393"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20">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rtl w:val="0"/>
        </w:rPr>
        <w:t xml:space="preserve">BIA ENERGY SAS E.S.P</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21">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de las  obligaciones derivadas de la ejecución de la Oferta Mercantil 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122">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123">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24">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Negocio Jurídico de la referencia; b) Cuando</w:t>
      </w:r>
      <w:r w:rsidDel="00000000" w:rsidR="00000000" w:rsidRPr="00000000">
        <w:rPr>
          <w:rFonts w:ascii="Cambria" w:cs="Cambria" w:eastAsia="Cambria" w:hAnsi="Cambria"/>
          <w:b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25">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126">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27">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128">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29">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12A">
      <w:pPr>
        <w:widowControl w:val="0"/>
        <w:spacing w:after="0" w:before="288" w:line="261" w:lineRule="auto"/>
        <w:ind w:left="1440" w:right="375" w:firstLine="0"/>
        <w:jc w:val="both"/>
        <w:rPr>
          <w:rFonts w:ascii="Cambria" w:cs="Cambria" w:eastAsia="Cambria" w:hAnsi="Cambria"/>
        </w:rPr>
      </w:pPr>
      <w:r w:rsidDel="00000000" w:rsidR="00000000" w:rsidRPr="00000000">
        <w:rPr>
          <w:rFonts w:ascii="Cambria" w:cs="Cambria" w:eastAsia="Cambria" w:hAnsi="Cambria"/>
          <w:b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12B">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veinticinco (2025).  </w:t>
      </w:r>
    </w:p>
    <w:p w:rsidR="00000000" w:rsidDel="00000000" w:rsidP="00000000" w:rsidRDefault="00000000" w:rsidRPr="00000000" w14:paraId="0000012C">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12D">
      <w:pPr>
        <w:widowControl w:val="0"/>
        <w:spacing w:after="0" w:before="26" w:line="240"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w:t>
      </w:r>
    </w:p>
    <w:p w:rsidR="00000000" w:rsidDel="00000000" w:rsidP="00000000" w:rsidRDefault="00000000" w:rsidRPr="00000000" w14:paraId="0000012E">
      <w:pPr>
        <w:widowControl w:val="0"/>
        <w:spacing w:after="0" w:before="26" w:line="240"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Leonardo Velásquez Flórez</w:t>
      </w:r>
    </w:p>
    <w:p w:rsidR="00000000" w:rsidDel="00000000" w:rsidP="00000000" w:rsidRDefault="00000000" w:rsidRPr="00000000" w14:paraId="0000012F">
      <w:pPr>
        <w:widowControl w:val="0"/>
        <w:spacing w:after="0" w:before="20" w:line="276" w:lineRule="auto"/>
        <w:ind w:left="1440" w:right="375" w:firstLine="0"/>
        <w:rPr>
          <w:rFonts w:ascii="Cambria" w:cs="Cambria" w:eastAsia="Cambria" w:hAnsi="Cambria"/>
          <w:b w:val="1"/>
        </w:rPr>
      </w:pPr>
      <w:r w:rsidDel="00000000" w:rsidR="00000000" w:rsidRPr="00000000">
        <w:rPr>
          <w:rFonts w:ascii="Cambria" w:cs="Cambria" w:eastAsia="Cambria" w:hAnsi="Cambria"/>
          <w:b w:val="1"/>
          <w:rtl w:val="0"/>
        </w:rPr>
        <w:t xml:space="preserve">CC. 1.107.047.209 </w:t>
      </w:r>
    </w:p>
    <w:p w:rsidR="00000000" w:rsidDel="00000000" w:rsidP="00000000" w:rsidRDefault="00000000" w:rsidRPr="00000000" w14:paraId="0000013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E">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3F">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7">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8">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9">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A">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B">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C">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D">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E">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4F">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0">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1">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2">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3">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4">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5">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6">
      <w:pPr>
        <w:widowControl w:val="0"/>
        <w:spacing w:after="0" w:before="26" w:line="240" w:lineRule="auto"/>
        <w:ind w:left="1398"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7">
      <w:pPr>
        <w:widowControl w:val="0"/>
        <w:spacing w:after="0" w:before="26"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8">
      <w:pPr>
        <w:widowControl w:val="0"/>
        <w:spacing w:after="0" w:before="58" w:line="240" w:lineRule="auto"/>
        <w:ind w:left="720" w:right="2550" w:firstLine="0"/>
        <w:jc w:val="right"/>
        <w:rPr>
          <w:rFonts w:ascii="Cambria" w:cs="Cambria" w:eastAsia="Cambria" w:hAnsi="Cambria"/>
          <w:b w:val="1"/>
        </w:rPr>
      </w:pPr>
      <w:r w:rsidDel="00000000" w:rsidR="00000000" w:rsidRPr="00000000">
        <w:rPr>
          <w:rFonts w:ascii="Cambria" w:cs="Cambria" w:eastAsia="Cambria" w:hAnsi="Cambria"/>
          <w:b w:val="1"/>
          <w:rtl w:val="0"/>
        </w:rPr>
        <w:t xml:space="preserve">CARTA DE INSTRUCCIONES AL PAGARÉ No. </w:t>
      </w:r>
      <w:r w:rsidDel="00000000" w:rsidR="00000000" w:rsidRPr="00000000">
        <w:rPr>
          <w:rFonts w:ascii="Cambria" w:cs="Cambria" w:eastAsia="Cambria" w:hAnsi="Cambria"/>
          <w:b w:val="1"/>
          <w:sz w:val="24"/>
          <w:szCs w:val="24"/>
          <w:rtl w:val="0"/>
        </w:rPr>
        <w:t xml:space="preserve">[XXXX]</w:t>
      </w:r>
      <w:r w:rsidDel="00000000" w:rsidR="00000000" w:rsidRPr="00000000">
        <w:rPr>
          <w:rtl w:val="0"/>
        </w:rPr>
      </w:r>
    </w:p>
    <w:p w:rsidR="00000000" w:rsidDel="00000000" w:rsidP="00000000" w:rsidRDefault="00000000" w:rsidRPr="00000000" w14:paraId="00000159">
      <w:pPr>
        <w:widowControl w:val="0"/>
        <w:spacing w:after="0" w:before="62" w:line="240" w:lineRule="auto"/>
        <w:ind w:right="1143"/>
        <w:jc w:val="right"/>
        <w:rPr>
          <w:rFonts w:ascii="Cambria" w:cs="Cambria" w:eastAsia="Cambria" w:hAnsi="Cambria"/>
          <w:b w:val="1"/>
        </w:rPr>
      </w:pPr>
      <w:r w:rsidDel="00000000" w:rsidR="00000000" w:rsidRPr="00000000">
        <w:rPr>
          <w:rFonts w:ascii="Cambria" w:cs="Cambria" w:eastAsia="Cambria" w:hAnsi="Cambria"/>
          <w:b w:val="1"/>
          <w:rtl w:val="0"/>
        </w:rPr>
        <w:t xml:space="preserve">OFERTA DE SUMINISTRO DE ENERGÍA ELÉCTRICA No. </w:t>
      </w:r>
      <w:r w:rsidDel="00000000" w:rsidR="00000000" w:rsidRPr="00000000">
        <w:rPr>
          <w:rFonts w:ascii="Cambria" w:cs="Cambria" w:eastAsia="Cambria" w:hAnsi="Cambria"/>
          <w:b w:val="1"/>
          <w:sz w:val="24"/>
          <w:szCs w:val="24"/>
          <w:rtl w:val="0"/>
        </w:rPr>
        <w:t xml:space="preserve">[XXXX]</w:t>
      </w:r>
      <w:r w:rsidDel="00000000" w:rsidR="00000000" w:rsidRPr="00000000">
        <w:rPr>
          <w:rtl w:val="0"/>
        </w:rPr>
      </w:r>
    </w:p>
    <w:p w:rsidR="00000000" w:rsidDel="00000000" w:rsidP="00000000" w:rsidRDefault="00000000" w:rsidRPr="00000000" w14:paraId="0000015A">
      <w:pPr>
        <w:widowControl w:val="0"/>
        <w:spacing w:after="0" w:before="278" w:line="240" w:lineRule="auto"/>
        <w:ind w:left="1407"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 NIT 901.588.412-3 - DEUDOR</w:t>
      </w:r>
    </w:p>
    <w:p w:rsidR="00000000" w:rsidDel="00000000" w:rsidP="00000000" w:rsidRDefault="00000000" w:rsidRPr="00000000" w14:paraId="0000015B">
      <w:pPr>
        <w:widowControl w:val="0"/>
        <w:spacing w:after="0" w:before="26" w:line="240" w:lineRule="auto"/>
        <w:ind w:left="1407" w:firstLine="0"/>
        <w:rPr>
          <w:rFonts w:ascii="Cambria" w:cs="Cambria" w:eastAsia="Cambria" w:hAnsi="Cambria"/>
          <w:b w:val="1"/>
        </w:rPr>
      </w:pP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NIT: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 ACREEDOR</w:t>
      </w:r>
    </w:p>
    <w:p w:rsidR="00000000" w:rsidDel="00000000" w:rsidP="00000000" w:rsidRDefault="00000000" w:rsidRPr="00000000" w14:paraId="0000015C">
      <w:pPr>
        <w:widowControl w:val="0"/>
        <w:spacing w:after="0" w:before="29" w:line="240" w:lineRule="auto"/>
        <w:ind w:left="1407"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15D">
      <w:pPr>
        <w:widowControl w:val="0"/>
        <w:spacing w:after="0" w:before="8" w:line="249" w:lineRule="auto"/>
        <w:ind w:left="1407" w:right="342" w:firstLine="0"/>
        <w:jc w:val="both"/>
        <w:rPr>
          <w:rFonts w:ascii="Cambria" w:cs="Cambria" w:eastAsia="Cambria" w:hAnsi="Cambria"/>
        </w:rPr>
      </w:pPr>
      <w:r w:rsidDel="00000000" w:rsidR="00000000" w:rsidRPr="00000000">
        <w:rPr>
          <w:rFonts w:ascii="Cambria" w:cs="Cambria" w:eastAsia="Cambria" w:hAnsi="Cambria"/>
          <w:b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5E">
      <w:pPr>
        <w:widowControl w:val="0"/>
        <w:spacing w:after="0" w:before="273" w:line="261"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rtl w:val="0"/>
        </w:rPr>
        <w:t xml:space="preserve">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5F">
      <w:pPr>
        <w:widowControl w:val="0"/>
        <w:spacing w:after="0" w:before="270" w:line="25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60">
      <w:pPr>
        <w:widowControl w:val="0"/>
        <w:spacing w:after="0" w:before="275" w:line="249" w:lineRule="auto"/>
        <w:ind w:left="1423" w:right="339" w:firstLine="0"/>
        <w:jc w:val="both"/>
        <w:rPr>
          <w:rFonts w:ascii="Cambria" w:cs="Cambria" w:eastAsia="Cambria" w:hAnsi="Cambria"/>
          <w:b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161">
      <w:pPr>
        <w:widowControl w:val="0"/>
        <w:spacing w:after="0" w:before="273" w:line="249"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sz w:val="24"/>
          <w:szCs w:val="24"/>
          <w:rtl w:val="0"/>
        </w:rPr>
        <w:t xml:space="preserve">[XXXX]</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162">
      <w:pPr>
        <w:widowControl w:val="0"/>
        <w:spacing w:after="0" w:before="275" w:line="248.00000000000006" w:lineRule="auto"/>
        <w:ind w:left="1429" w:right="345" w:firstLine="0"/>
        <w:jc w:val="both"/>
        <w:rPr>
          <w:rFonts w:ascii="Cambria" w:cs="Cambria" w:eastAsia="Cambria" w:hAnsi="Cambria"/>
        </w:rPr>
      </w:pPr>
      <w:r w:rsidDel="00000000" w:rsidR="00000000" w:rsidRPr="00000000">
        <w:rPr>
          <w:rFonts w:ascii="Cambria" w:cs="Cambria" w:eastAsia="Cambria" w:hAnsi="Cambria"/>
          <w:b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63">
      <w:pPr>
        <w:widowControl w:val="0"/>
        <w:spacing w:after="0" w:before="275" w:line="240" w:lineRule="auto"/>
        <w:ind w:left="1407" w:firstLine="0"/>
        <w:rPr>
          <w:rFonts w:ascii="Cambria" w:cs="Cambria" w:eastAsia="Cambria" w:hAnsi="Cambria"/>
          <w:b w:val="1"/>
        </w:rPr>
      </w:pPr>
      <w:r w:rsidDel="00000000" w:rsidR="00000000" w:rsidRPr="00000000">
        <w:rPr>
          <w:rFonts w:ascii="Cambria" w:cs="Cambria" w:eastAsia="Cambria" w:hAnsi="Cambria"/>
          <w:rtl w:val="0"/>
        </w:rPr>
        <w:t xml:space="preserve">Firmado en Bogotá, a los ___________ (__) días del mes de _________ del año dos mil veinticinco (2025).  </w:t>
      </w:r>
      <w:r w:rsidDel="00000000" w:rsidR="00000000" w:rsidRPr="00000000">
        <w:rPr>
          <w:rtl w:val="0"/>
        </w:rPr>
      </w:r>
    </w:p>
    <w:p w:rsidR="00000000" w:rsidDel="00000000" w:rsidP="00000000" w:rsidRDefault="00000000" w:rsidRPr="00000000" w14:paraId="00000164">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165">
      <w:pPr>
        <w:widowControl w:val="0"/>
        <w:spacing w:after="0" w:before="26" w:line="240" w:lineRule="auto"/>
        <w:ind w:left="1398" w:firstLine="0"/>
        <w:rPr>
          <w:rFonts w:ascii="Cambria" w:cs="Cambria" w:eastAsia="Cambria" w:hAnsi="Cambria"/>
          <w:b w:val="1"/>
        </w:rPr>
      </w:pPr>
      <w:r w:rsidDel="00000000" w:rsidR="00000000" w:rsidRPr="00000000">
        <w:rPr>
          <w:rFonts w:ascii="Cambria" w:cs="Cambria" w:eastAsia="Cambria" w:hAnsi="Cambria"/>
          <w:b w:val="1"/>
          <w:rtl w:val="0"/>
        </w:rPr>
        <w:t xml:space="preserve">BIA ENERGY S.A.S. E.S.P.</w:t>
      </w:r>
    </w:p>
    <w:p w:rsidR="00000000" w:rsidDel="00000000" w:rsidP="00000000" w:rsidRDefault="00000000" w:rsidRPr="00000000" w14:paraId="00000166">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rtl w:val="0"/>
        </w:rPr>
        <w:t xml:space="preserve">Leonardo Velásquez Flórez</w:t>
      </w:r>
      <w:r w:rsidDel="00000000" w:rsidR="00000000" w:rsidRPr="00000000">
        <w:rPr>
          <w:rtl w:val="0"/>
        </w:rPr>
      </w:r>
    </w:p>
    <w:p w:rsidR="00000000" w:rsidDel="00000000" w:rsidP="00000000" w:rsidRDefault="00000000" w:rsidRPr="00000000" w14:paraId="00000167">
      <w:pPr>
        <w:widowControl w:val="0"/>
        <w:spacing w:after="0" w:before="20" w:line="276" w:lineRule="auto"/>
        <w:ind w:left="1400" w:firstLine="0"/>
        <w:rPr>
          <w:rFonts w:ascii="Tahoma" w:cs="Tahoma" w:eastAsia="Tahoma" w:hAnsi="Tahoma"/>
          <w:sz w:val="19"/>
          <w:szCs w:val="19"/>
        </w:rPr>
      </w:pPr>
      <w:r w:rsidDel="00000000" w:rsidR="00000000" w:rsidRPr="00000000">
        <w:rPr>
          <w:rFonts w:ascii="Cambria" w:cs="Cambria" w:eastAsia="Cambria" w:hAnsi="Cambria"/>
          <w:b w:val="1"/>
          <w:rtl w:val="0"/>
        </w:rPr>
        <w:t xml:space="preserve">CC. 1.107.047.209 </w:t>
      </w:r>
      <w:r w:rsidDel="00000000" w:rsidR="00000000" w:rsidRPr="00000000">
        <w:rPr>
          <w:rtl w:val="0"/>
        </w:rPr>
      </w:r>
    </w:p>
    <w:p w:rsidR="00000000" w:rsidDel="00000000" w:rsidP="00000000" w:rsidRDefault="00000000" w:rsidRPr="00000000" w14:paraId="00000168">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widowControl w:val="0"/>
        <w:spacing w:after="0" w:before="288" w:line="261" w:lineRule="auto"/>
        <w:ind w:left="0" w:right="339"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A">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B">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C">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D">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E">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F">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0">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1">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2">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3">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4">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6">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7">
      <w:pPr>
        <w:widowControl w:val="0"/>
        <w:spacing w:after="0" w:before="288" w:line="261" w:lineRule="auto"/>
        <w:ind w:left="1406" w:right="339" w:firstLine="15"/>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8">
      <w:pPr>
        <w:spacing w:after="0" w:line="276" w:lineRule="auto"/>
        <w:ind w:left="0" w:right="1365" w:firstLine="0"/>
        <w:jc w:val="both"/>
        <w:rPr>
          <w:rFonts w:ascii="Cambria" w:cs="Cambria" w:eastAsia="Cambria" w:hAnsi="Cambria"/>
          <w:sz w:val="24"/>
          <w:szCs w:val="24"/>
        </w:rPr>
      </w:pPr>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ahoma">
    <w:embedRegular w:fontKey="{00000000-0000-0000-0000-000000000000}" r:id="rId1" w:subsetted="0"/>
    <w:embedBold w:fontKey="{00000000-0000-0000-0000-000000000000}" r:id="rId2" w:subsetted="0"/>
  </w:font>
  <w:font w:name="Helvetica Neue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1"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2.jpg"/>
        </v:shape>
      </w:pict>
    </w:r>
    <w:r w:rsidDel="00000000" w:rsidR="00000000" w:rsidRPr="00000000">
      <w:rPr/>
      <w:pict>
        <v:shape id="WordPictureWatermark3"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2.jpg"/>
        </v:shape>
      </w:pict>
    </w:r>
    <w:r w:rsidDel="00000000" w:rsidR="00000000" w:rsidRPr="00000000">
      <w:rPr/>
      <w:pict>
        <v:shape id="WordPictureWatermark4"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5"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pict>
        <v:shape id="WordPictureWatermark6" style="position:absolute;width:640.2998425196851pt;height:820.3pt;rotation:0;z-index:-503316481;mso-position-horizontal-relative:margin;mso-position-horizontal:absolute;margin-left:0.0pt;mso-position-vertical-relative:margin;mso-position-vertical:absolute;margin-top:-99.3pt;" alt="" type="#_x0000_t75">
          <v:imagedata cropbottom="0f" cropleft="0f" cropright="0f" croptop="0f" r:id="rId1" o:title="image2.jpg"/>
        </v:shape>
      </w:pict>
    </w:r>
    <w:r w:rsidDel="00000000" w:rsidR="00000000" w:rsidRPr="00000000">
      <w:rPr/>
      <w:pict>
        <v:shape id="WordPictureWatermark7" style="position:absolute;width:640.2998425196851pt;height:820.3pt;rotation:0;z-index:-503316481;mso-position-horizontal-relative:margin;mso-position-horizontal:absolute;margin-left:-12.45pt;mso-position-vertical-relative:margin;mso-position-vertical:absolute;margin-top:700.2pt;" alt="" type="#_x0000_t75">
          <v:imagedata cropbottom="0f" cropleft="0f" cropright="0f" croptop="0f" r:id="rId2"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a" w:customStyle="1">
    <w:basedOn w:val="TableNormal7"/>
    <w:tblPr>
      <w:tblStyleRowBandSize w:val="1"/>
      <w:tblStyleColBandSize w:val="1"/>
      <w:tblCellMar>
        <w:top w:w="100.0" w:type="dxa"/>
        <w:left w:w="100.0" w:type="dxa"/>
        <w:bottom w:w="100.0" w:type="dxa"/>
        <w:right w:w="100.0" w:type="dxa"/>
      </w:tblCellMar>
    </w:tblPr>
  </w:style>
  <w:style w:type="table" w:styleId="a0" w:customStyle="1">
    <w:basedOn w:val="TableNormal7"/>
    <w:tblPr>
      <w:tblStyleRowBandSize w:val="1"/>
      <w:tblStyleColBandSize w:val="1"/>
      <w:tblCellMar>
        <w:top w:w="100.0" w:type="dxa"/>
        <w:left w:w="100.0" w:type="dxa"/>
        <w:bottom w:w="100.0" w:type="dxa"/>
        <w:right w:w="100.0" w:type="dxa"/>
      </w:tblCellMar>
    </w:tblPr>
  </w:style>
  <w:style w:type="table" w:styleId="a1" w:customStyle="1">
    <w:basedOn w:val="TableNormal7"/>
    <w:tblPr>
      <w:tblStyleRowBandSize w:val="1"/>
      <w:tblStyleColBandSize w:val="1"/>
      <w:tblCellMar>
        <w:top w:w="100.0" w:type="dxa"/>
        <w:left w:w="100.0" w:type="dxa"/>
        <w:bottom w:w="100.0" w:type="dxa"/>
        <w:right w:w="100.0" w:type="dxa"/>
      </w:tblCellMar>
    </w:tblPr>
  </w:style>
  <w:style w:type="table" w:styleId="a2" w:customStyle="1">
    <w:basedOn w:val="TableNormal7"/>
    <w:tblPr>
      <w:tblStyleRowBandSize w:val="1"/>
      <w:tblStyleColBandSize w:val="1"/>
      <w:tblCellMar>
        <w:top w:w="100.0" w:type="dxa"/>
        <w:left w:w="100.0" w:type="dxa"/>
        <w:bottom w:w="100.0" w:type="dxa"/>
        <w:right w:w="100.0" w:type="dxa"/>
      </w:tblCellMar>
    </w:tblPr>
  </w:style>
  <w:style w:type="table" w:styleId="a3" w:customStyle="1">
    <w:basedOn w:val="TableNormal7"/>
    <w:tblPr>
      <w:tblStyleRowBandSize w:val="1"/>
      <w:tblStyleColBandSize w:val="1"/>
      <w:tblCellMar>
        <w:top w:w="100.0" w:type="dxa"/>
        <w:left w:w="100.0" w:type="dxa"/>
        <w:bottom w:w="100.0" w:type="dxa"/>
        <w:right w:w="100.0" w:type="dxa"/>
      </w:tblCellMar>
    </w:tblPr>
  </w:style>
  <w:style w:type="table" w:styleId="a4" w:customStyle="1">
    <w:basedOn w:val="TableNormal7"/>
    <w:tblPr>
      <w:tblStyleRowBandSize w:val="1"/>
      <w:tblStyleColBandSize w:val="1"/>
      <w:tblCellMar>
        <w:top w:w="100.0" w:type="dxa"/>
        <w:left w:w="100.0" w:type="dxa"/>
        <w:bottom w:w="100.0" w:type="dxa"/>
        <w:right w:w="100.0" w:type="dxa"/>
      </w:tblCellMar>
    </w:tblPr>
  </w:style>
  <w:style w:type="table" w:styleId="a5" w:customStyle="1">
    <w:basedOn w:val="TableNormal7"/>
    <w:tblPr>
      <w:tblStyleRowBandSize w:val="1"/>
      <w:tblStyleColBandSize w:val="1"/>
      <w:tblCellMar>
        <w:top w:w="100.0" w:type="dxa"/>
        <w:left w:w="100.0" w:type="dxa"/>
        <w:bottom w:w="100.0" w:type="dxa"/>
        <w:right w:w="100.0" w:type="dxa"/>
      </w:tblCellMar>
    </w:tblPr>
  </w:style>
  <w:style w:type="table" w:styleId="a6" w:customStyle="1">
    <w:basedOn w:val="TableNormal7"/>
    <w:tblPr>
      <w:tblStyleRowBandSize w:val="1"/>
      <w:tblStyleColBandSize w:val="1"/>
      <w:tblCellMar>
        <w:top w:w="100.0" w:type="dxa"/>
        <w:left w:w="100.0" w:type="dxa"/>
        <w:bottom w:w="100.0" w:type="dxa"/>
        <w:right w:w="100.0" w:type="dxa"/>
      </w:tblCellMar>
    </w:tblPr>
  </w:style>
  <w:style w:type="table" w:styleId="a7" w:customStyle="1">
    <w:basedOn w:val="TableNormal7"/>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numbering" w:styleId="Estilo1" w:customStyle="1">
    <w:name w:val="Estilo1"/>
    <w:uiPriority w:val="99"/>
    <w:rsid w:val="005116FA"/>
  </w:style>
  <w:style w:type="paragraph" w:styleId="TtuloTDC">
    <w:name w:val="TOC Heading"/>
    <w:basedOn w:val="Ttulo1"/>
    <w:next w:val="Normal"/>
    <w:uiPriority w:val="39"/>
    <w:unhideWhenUsed w:val="1"/>
    <w:qFormat w:val="1"/>
    <w:rsid w:val="005116FA"/>
    <w:pPr>
      <w:numPr>
        <w:numId w:val="0"/>
      </w:numPr>
      <w:spacing w:after="0" w:before="240"/>
      <w:jc w:val="left"/>
      <w:outlineLvl w:val="9"/>
    </w:pPr>
    <w:rPr>
      <w:rFonts w:asciiTheme="majorHAnsi" w:cstheme="majorBidi" w:eastAsiaTheme="majorEastAsia" w:hAnsiTheme="majorHAnsi"/>
      <w:b w:val="0"/>
      <w:color w:val="365f91" w:themeColor="accent1" w:themeShade="0000BF"/>
      <w:sz w:val="32"/>
      <w:szCs w:val="32"/>
    </w:rPr>
  </w:style>
  <w:style w:type="paragraph" w:styleId="TDC1">
    <w:name w:val="toc 1"/>
    <w:basedOn w:val="Normal"/>
    <w:next w:val="Normal"/>
    <w:autoRedefine w:val="1"/>
    <w:uiPriority w:val="39"/>
    <w:unhideWhenUsed w:val="1"/>
    <w:rsid w:val="005116FA"/>
    <w:pPr>
      <w:spacing w:after="100"/>
    </w:pPr>
  </w:style>
  <w:style w:type="paragraph" w:styleId="TDC2">
    <w:name w:val="toc 2"/>
    <w:basedOn w:val="Normal"/>
    <w:next w:val="Normal"/>
    <w:autoRedefine w:val="1"/>
    <w:uiPriority w:val="39"/>
    <w:unhideWhenUsed w:val="1"/>
    <w:rsid w:val="005116FA"/>
    <w:pPr>
      <w:spacing w:after="100"/>
      <w:ind w:left="220"/>
    </w:pPr>
  </w:style>
  <w:style w:type="character" w:styleId="Hipervnculo">
    <w:name w:val="Hyperlink"/>
    <w:basedOn w:val="Fuentedeprrafopredeter"/>
    <w:uiPriority w:val="99"/>
    <w:unhideWhenUsed w:val="1"/>
    <w:rsid w:val="005116FA"/>
    <w:rPr>
      <w:color w:val="0000ff" w:themeColor="hyperlink"/>
      <w:u w:val="single"/>
    </w:rPr>
  </w:style>
  <w:style w:type="table" w:styleId="a8" w:customStyle="1">
    <w:basedOn w:val="TableNormal6"/>
    <w:tblPr>
      <w:tblStyleRowBandSize w:val="1"/>
      <w:tblStyleColBandSize w:val="1"/>
      <w:tblCellMar>
        <w:top w:w="100.0" w:type="dxa"/>
        <w:left w:w="100.0" w:type="dxa"/>
        <w:bottom w:w="100.0" w:type="dxa"/>
        <w:right w:w="100.0" w:type="dxa"/>
      </w:tblCellMar>
    </w:tblPr>
  </w:style>
  <w:style w:type="table" w:styleId="a9" w:customStyle="1">
    <w:basedOn w:val="TableNormal6"/>
    <w:tblPr>
      <w:tblStyleRowBandSize w:val="1"/>
      <w:tblStyleColBandSize w:val="1"/>
      <w:tblCellMar>
        <w:top w:w="100.0" w:type="dxa"/>
        <w:left w:w="100.0" w:type="dxa"/>
        <w:bottom w:w="100.0" w:type="dxa"/>
        <w:right w:w="100.0" w:type="dxa"/>
      </w:tblCellMar>
    </w:tblPr>
  </w:style>
  <w:style w:type="table" w:styleId="aa" w:customStyle="1">
    <w:basedOn w:val="TableNormal6"/>
    <w:tblPr>
      <w:tblStyleRowBandSize w:val="1"/>
      <w:tblStyleColBandSize w:val="1"/>
      <w:tblCellMar>
        <w:top w:w="100.0" w:type="dxa"/>
        <w:left w:w="100.0" w:type="dxa"/>
        <w:bottom w:w="100.0" w:type="dxa"/>
        <w:right w:w="100.0" w:type="dxa"/>
      </w:tblCellMar>
    </w:tblPr>
  </w:style>
  <w:style w:type="table" w:styleId="ab" w:customStyle="1">
    <w:basedOn w:val="TableNormal6"/>
    <w:tblPr>
      <w:tblStyleRowBandSize w:val="1"/>
      <w:tblStyleColBandSize w:val="1"/>
      <w:tblCellMar>
        <w:top w:w="100.0" w:type="dxa"/>
        <w:left w:w="100.0" w:type="dxa"/>
        <w:bottom w:w="100.0" w:type="dxa"/>
        <w:right w:w="100.0" w:type="dxa"/>
      </w:tblCellMar>
    </w:tblPr>
  </w:style>
  <w:style w:type="table" w:styleId="ac" w:customStyle="1">
    <w:basedOn w:val="TableNormal6"/>
    <w:tblPr>
      <w:tblStyleRowBandSize w:val="1"/>
      <w:tblStyleColBandSize w:val="1"/>
      <w:tblCellMar>
        <w:top w:w="100.0" w:type="dxa"/>
        <w:left w:w="100.0" w:type="dxa"/>
        <w:bottom w:w="100.0" w:type="dxa"/>
        <w:right w:w="100.0" w:type="dxa"/>
      </w:tblCellMar>
    </w:tblPr>
  </w:style>
  <w:style w:type="table" w:styleId="ad" w:customStyle="1">
    <w:basedOn w:val="TableNormal6"/>
    <w:tblPr>
      <w:tblStyleRowBandSize w:val="1"/>
      <w:tblStyleColBandSize w:val="1"/>
      <w:tblCellMar>
        <w:top w:w="100.0" w:type="dxa"/>
        <w:left w:w="100.0" w:type="dxa"/>
        <w:bottom w:w="100.0" w:type="dxa"/>
        <w:right w:w="100.0" w:type="dxa"/>
      </w:tblCellMar>
    </w:tblPr>
  </w:style>
  <w:style w:type="table" w:styleId="ae" w:customStyle="1">
    <w:basedOn w:val="TableNormal6"/>
    <w:tblPr>
      <w:tblStyleRowBandSize w:val="1"/>
      <w:tblStyleColBandSize w:val="1"/>
      <w:tblCellMar>
        <w:top w:w="100.0" w:type="dxa"/>
        <w:left w:w="100.0" w:type="dxa"/>
        <w:bottom w:w="100.0" w:type="dxa"/>
        <w:right w:w="100.0" w:type="dxa"/>
      </w:tblCellMar>
    </w:tblPr>
  </w:style>
  <w:style w:type="table" w:styleId="af" w:customStyle="1">
    <w:basedOn w:val="TableNormal6"/>
    <w:tblPr>
      <w:tblStyleRowBandSize w:val="1"/>
      <w:tblStyleColBandSize w:val="1"/>
      <w:tblCellMar>
        <w:top w:w="100.0" w:type="dxa"/>
        <w:left w:w="100.0" w:type="dxa"/>
        <w:bottom w:w="100.0" w:type="dxa"/>
        <w:right w:w="100.0" w:type="dxa"/>
      </w:tblCellMar>
    </w:tblPr>
  </w:style>
  <w:style w:type="table" w:styleId="af0" w:customStyle="1">
    <w:basedOn w:val="TableNormal6"/>
    <w:tblPr>
      <w:tblStyleRowBandSize w:val="1"/>
      <w:tblStyleColBandSize w:val="1"/>
      <w:tblCellMar>
        <w:top w:w="100.0" w:type="dxa"/>
        <w:left w:w="100.0" w:type="dxa"/>
        <w:bottom w:w="100.0" w:type="dxa"/>
        <w:right w:w="100.0" w:type="dxa"/>
      </w:tblCellMar>
    </w:tblPr>
  </w:style>
  <w:style w:type="table" w:styleId="af1" w:customStyle="1">
    <w:basedOn w:val="TableNormal6"/>
    <w:tblPr>
      <w:tblStyleRowBandSize w:val="1"/>
      <w:tblStyleColBandSize w:val="1"/>
      <w:tblCellMar>
        <w:top w:w="100.0" w:type="dxa"/>
        <w:left w:w="100.0" w:type="dxa"/>
        <w:bottom w:w="100.0" w:type="dxa"/>
        <w:right w:w="100.0" w:type="dxa"/>
      </w:tblCellMar>
    </w:tblPr>
  </w:style>
  <w:style w:type="table" w:styleId="af2" w:customStyle="1">
    <w:basedOn w:val="TableNormal6"/>
    <w:tblPr>
      <w:tblStyleRowBandSize w:val="1"/>
      <w:tblStyleColBandSize w:val="1"/>
      <w:tblCellMar>
        <w:top w:w="100.0" w:type="dxa"/>
        <w:left w:w="100.0" w:type="dxa"/>
        <w:bottom w:w="100.0" w:type="dxa"/>
        <w:right w:w="100.0" w:type="dxa"/>
      </w:tblCellMar>
    </w:tblPr>
  </w:style>
  <w:style w:type="table" w:styleId="af3" w:customStyle="1">
    <w:basedOn w:val="TableNormal6"/>
    <w:tblPr>
      <w:tblStyleRowBandSize w:val="1"/>
      <w:tblStyleColBandSize w:val="1"/>
      <w:tblCellMar>
        <w:top w:w="100.0" w:type="dxa"/>
        <w:left w:w="100.0" w:type="dxa"/>
        <w:bottom w:w="100.0" w:type="dxa"/>
        <w:right w:w="100.0" w:type="dxa"/>
      </w:tblCellMar>
    </w:tblPr>
  </w:style>
  <w:style w:type="table" w:styleId="af4" w:customStyle="1">
    <w:basedOn w:val="TableNormal6"/>
    <w:tblPr>
      <w:tblStyleRowBandSize w:val="1"/>
      <w:tblStyleColBandSize w:val="1"/>
      <w:tblCellMar>
        <w:top w:w="100.0" w:type="dxa"/>
        <w:left w:w="100.0" w:type="dxa"/>
        <w:bottom w:w="100.0" w:type="dxa"/>
        <w:right w:w="100.0" w:type="dxa"/>
      </w:tblCellMar>
    </w:tblPr>
  </w:style>
  <w:style w:type="table" w:styleId="af5" w:customStyle="1">
    <w:basedOn w:val="TableNormal6"/>
    <w:tblPr>
      <w:tblStyleRowBandSize w:val="1"/>
      <w:tblStyleColBandSize w:val="1"/>
      <w:tblCellMar>
        <w:top w:w="100.0" w:type="dxa"/>
        <w:left w:w="100.0" w:type="dxa"/>
        <w:bottom w:w="100.0" w:type="dxa"/>
        <w:right w:w="100.0" w:type="dxa"/>
      </w:tblCellMar>
    </w:tblPr>
  </w:style>
  <w:style w:type="table" w:styleId="af6" w:customStyle="1">
    <w:basedOn w:val="TableNormal6"/>
    <w:tblPr>
      <w:tblStyleRowBandSize w:val="1"/>
      <w:tblStyleColBandSize w:val="1"/>
      <w:tblCellMar>
        <w:top w:w="100.0" w:type="dxa"/>
        <w:left w:w="100.0" w:type="dxa"/>
        <w:bottom w:w="100.0" w:type="dxa"/>
        <w:right w:w="100.0" w:type="dxa"/>
      </w:tblCellMar>
    </w:tblPr>
  </w:style>
  <w:style w:type="table" w:styleId="af7" w:customStyle="1">
    <w:basedOn w:val="TableNormal6"/>
    <w:tblPr>
      <w:tblStyleRowBandSize w:val="1"/>
      <w:tblStyleColBandSize w:val="1"/>
      <w:tblCellMar>
        <w:top w:w="100.0" w:type="dxa"/>
        <w:left w:w="100.0" w:type="dxa"/>
        <w:bottom w:w="100.0" w:type="dxa"/>
        <w:right w:w="100.0" w:type="dxa"/>
      </w:tblCellMar>
    </w:tblPr>
  </w:style>
  <w:style w:type="table" w:styleId="af8" w:customStyle="1">
    <w:basedOn w:val="TableNormal6"/>
    <w:tblPr>
      <w:tblStyleRowBandSize w:val="1"/>
      <w:tblStyleColBandSize w:val="1"/>
      <w:tblCellMar>
        <w:top w:w="100.0" w:type="dxa"/>
        <w:left w:w="100.0" w:type="dxa"/>
        <w:bottom w:w="100.0" w:type="dxa"/>
        <w:right w:w="100.0" w:type="dxa"/>
      </w:tblCellMar>
    </w:tblPr>
  </w:style>
  <w:style w:type="table" w:styleId="af9" w:customStyle="1">
    <w:basedOn w:val="TableNormal6"/>
    <w:tblPr>
      <w:tblStyleRowBandSize w:val="1"/>
      <w:tblStyleColBandSize w:val="1"/>
      <w:tblCellMar>
        <w:top w:w="100.0" w:type="dxa"/>
        <w:left w:w="100.0" w:type="dxa"/>
        <w:bottom w:w="100.0" w:type="dxa"/>
        <w:right w:w="100.0" w:type="dxa"/>
      </w:tblCellMar>
    </w:tblPr>
  </w:style>
  <w:style w:type="table" w:styleId="afa" w:customStyle="1">
    <w:basedOn w:val="TableNormal6"/>
    <w:tblPr>
      <w:tblStyleRowBandSize w:val="1"/>
      <w:tblStyleColBandSize w:val="1"/>
      <w:tblCellMar>
        <w:top w:w="100.0" w:type="dxa"/>
        <w:left w:w="100.0" w:type="dxa"/>
        <w:bottom w:w="100.0" w:type="dxa"/>
        <w:right w:w="100.0" w:type="dxa"/>
      </w:tblCellMar>
    </w:tblPr>
  </w:style>
  <w:style w:type="table" w:styleId="afb" w:customStyle="1">
    <w:basedOn w:val="TableNormal6"/>
    <w:tblPr>
      <w:tblStyleRowBandSize w:val="1"/>
      <w:tblStyleColBandSize w:val="1"/>
      <w:tblCellMar>
        <w:top w:w="100.0" w:type="dxa"/>
        <w:left w:w="100.0" w:type="dxa"/>
        <w:bottom w:w="100.0" w:type="dxa"/>
        <w:right w:w="100.0" w:type="dxa"/>
      </w:tblCellMar>
    </w:tblPr>
  </w:style>
  <w:style w:type="table" w:styleId="afc" w:customStyle="1">
    <w:basedOn w:val="TableNormal6"/>
    <w:tblPr>
      <w:tblStyleRowBandSize w:val="1"/>
      <w:tblStyleColBandSize w:val="1"/>
      <w:tblCellMar>
        <w:top w:w="100.0" w:type="dxa"/>
        <w:left w:w="100.0" w:type="dxa"/>
        <w:bottom w:w="100.0" w:type="dxa"/>
        <w:right w:w="100.0" w:type="dxa"/>
      </w:tblCellMar>
    </w:tblPr>
  </w:style>
  <w:style w:type="table" w:styleId="afd" w:customStyle="1">
    <w:basedOn w:val="TableNormal6"/>
    <w:tblPr>
      <w:tblStyleRowBandSize w:val="1"/>
      <w:tblStyleColBandSize w:val="1"/>
      <w:tblCellMar>
        <w:top w:w="100.0" w:type="dxa"/>
        <w:left w:w="100.0" w:type="dxa"/>
        <w:bottom w:w="100.0" w:type="dxa"/>
        <w:right w:w="100.0" w:type="dxa"/>
      </w:tblCellMar>
    </w:tblPr>
  </w:style>
  <w:style w:type="table" w:styleId="afe" w:customStyle="1">
    <w:basedOn w:val="TableNormal6"/>
    <w:tblPr>
      <w:tblStyleRowBandSize w:val="1"/>
      <w:tblStyleColBandSize w:val="1"/>
      <w:tblCellMar>
        <w:top w:w="100.0" w:type="dxa"/>
        <w:left w:w="100.0" w:type="dxa"/>
        <w:bottom w:w="100.0" w:type="dxa"/>
        <w:right w:w="100.0" w:type="dxa"/>
      </w:tblCellMar>
    </w:tblPr>
  </w:style>
  <w:style w:type="table" w:styleId="aff" w:customStyle="1">
    <w:basedOn w:val="TableNormal6"/>
    <w:tblPr>
      <w:tblStyleRowBandSize w:val="1"/>
      <w:tblStyleColBandSize w:val="1"/>
      <w:tblCellMar>
        <w:top w:w="100.0" w:type="dxa"/>
        <w:left w:w="100.0" w:type="dxa"/>
        <w:bottom w:w="100.0" w:type="dxa"/>
        <w:right w:w="100.0" w:type="dxa"/>
      </w:tblCellMar>
    </w:tblPr>
  </w:style>
  <w:style w:type="table" w:styleId="aff0" w:customStyle="1">
    <w:basedOn w:val="TableNormal6"/>
    <w:tblPr>
      <w:tblStyleRowBandSize w:val="1"/>
      <w:tblStyleColBandSize w:val="1"/>
      <w:tblCellMar>
        <w:top w:w="100.0" w:type="dxa"/>
        <w:left w:w="100.0" w:type="dxa"/>
        <w:bottom w:w="100.0" w:type="dxa"/>
        <w:right w:w="100.0" w:type="dxa"/>
      </w:tblCellMar>
    </w:tblPr>
  </w:style>
  <w:style w:type="table" w:styleId="aff1" w:customStyle="1">
    <w:basedOn w:val="TableNormal6"/>
    <w:tblPr>
      <w:tblStyleRowBandSize w:val="1"/>
      <w:tblStyleColBandSize w:val="1"/>
      <w:tblCellMar>
        <w:top w:w="100.0" w:type="dxa"/>
        <w:left w:w="100.0" w:type="dxa"/>
        <w:bottom w:w="100.0" w:type="dxa"/>
        <w:right w:w="100.0" w:type="dxa"/>
      </w:tblCellMar>
    </w:tblPr>
  </w:style>
  <w:style w:type="table" w:styleId="aff2" w:customStyle="1">
    <w:basedOn w:val="TableNormal6"/>
    <w:tblPr>
      <w:tblStyleRowBandSize w:val="1"/>
      <w:tblStyleColBandSize w:val="1"/>
      <w:tblCellMar>
        <w:top w:w="100.0" w:type="dxa"/>
        <w:left w:w="100.0" w:type="dxa"/>
        <w:bottom w:w="100.0" w:type="dxa"/>
        <w:right w:w="100.0" w:type="dxa"/>
      </w:tblCellMar>
    </w:tblPr>
  </w:style>
  <w:style w:type="table" w:styleId="aff3" w:customStyle="1">
    <w:basedOn w:val="TableNormal6"/>
    <w:tblPr>
      <w:tblStyleRowBandSize w:val="1"/>
      <w:tblStyleColBandSize w:val="1"/>
      <w:tblCellMar>
        <w:top w:w="100.0" w:type="dxa"/>
        <w:left w:w="100.0" w:type="dxa"/>
        <w:bottom w:w="100.0" w:type="dxa"/>
        <w:right w:w="100.0" w:type="dxa"/>
      </w:tblCellMar>
    </w:tblPr>
  </w:style>
  <w:style w:type="table" w:styleId="aff4" w:customStyle="1">
    <w:basedOn w:val="TableNormal6"/>
    <w:tblPr>
      <w:tblStyleRowBandSize w:val="1"/>
      <w:tblStyleColBandSize w:val="1"/>
      <w:tblCellMar>
        <w:top w:w="100.0" w:type="dxa"/>
        <w:left w:w="100.0" w:type="dxa"/>
        <w:bottom w:w="100.0" w:type="dxa"/>
        <w:right w:w="100.0" w:type="dxa"/>
      </w:tblCellMar>
    </w:tblPr>
  </w:style>
  <w:style w:type="table" w:styleId="aff5" w:customStyle="1">
    <w:basedOn w:val="TableNormal6"/>
    <w:tblPr>
      <w:tblStyleRowBandSize w:val="1"/>
      <w:tblStyleColBandSize w:val="1"/>
      <w:tblCellMar>
        <w:top w:w="100.0" w:type="dxa"/>
        <w:left w:w="100.0" w:type="dxa"/>
        <w:bottom w:w="100.0" w:type="dxa"/>
        <w:right w:w="100.0" w:type="dxa"/>
      </w:tblCellMar>
    </w:tblPr>
  </w:style>
  <w:style w:type="table" w:styleId="aff6" w:customStyle="1">
    <w:basedOn w:val="TableNormal6"/>
    <w:tblPr>
      <w:tblStyleRowBandSize w:val="1"/>
      <w:tblStyleColBandSize w:val="1"/>
      <w:tblCellMar>
        <w:top w:w="100.0" w:type="dxa"/>
        <w:left w:w="100.0" w:type="dxa"/>
        <w:bottom w:w="100.0" w:type="dxa"/>
        <w:right w:w="100.0" w:type="dxa"/>
      </w:tblCellMar>
    </w:tblPr>
  </w:style>
  <w:style w:type="table" w:styleId="aff7" w:customStyle="1">
    <w:basedOn w:val="TableNormal6"/>
    <w:tblPr>
      <w:tblStyleRowBandSize w:val="1"/>
      <w:tblStyleColBandSize w:val="1"/>
      <w:tblCellMar>
        <w:top w:w="100.0" w:type="dxa"/>
        <w:left w:w="100.0" w:type="dxa"/>
        <w:bottom w:w="100.0" w:type="dxa"/>
        <w:right w:w="100.0" w:type="dxa"/>
      </w:tblCellMar>
    </w:tblPr>
  </w:style>
  <w:style w:type="table" w:styleId="aff8" w:customStyle="1">
    <w:basedOn w:val="TableNormal6"/>
    <w:tblPr>
      <w:tblStyleRowBandSize w:val="1"/>
      <w:tblStyleColBandSize w:val="1"/>
      <w:tblCellMar>
        <w:top w:w="100.0" w:type="dxa"/>
        <w:left w:w="100.0" w:type="dxa"/>
        <w:bottom w:w="100.0" w:type="dxa"/>
        <w:right w:w="100.0" w:type="dxa"/>
      </w:tblCellMar>
    </w:tblPr>
  </w:style>
  <w:style w:type="table" w:styleId="aff9" w:customStyle="1">
    <w:basedOn w:val="TableNormal6"/>
    <w:tblPr>
      <w:tblStyleRowBandSize w:val="1"/>
      <w:tblStyleColBandSize w:val="1"/>
      <w:tblCellMar>
        <w:top w:w="100.0" w:type="dxa"/>
        <w:left w:w="100.0" w:type="dxa"/>
        <w:bottom w:w="100.0" w:type="dxa"/>
        <w:right w:w="100.0" w:type="dxa"/>
      </w:tblCellMar>
    </w:tblPr>
  </w:style>
  <w:style w:type="table" w:styleId="affa" w:customStyle="1">
    <w:basedOn w:val="TableNormal6"/>
    <w:tblPr>
      <w:tblStyleRowBandSize w:val="1"/>
      <w:tblStyleColBandSize w:val="1"/>
      <w:tblCellMar>
        <w:top w:w="100.0" w:type="dxa"/>
        <w:left w:w="100.0" w:type="dxa"/>
        <w:bottom w:w="100.0" w:type="dxa"/>
        <w:right w:w="100.0" w:type="dxa"/>
      </w:tblCellMar>
    </w:tblPr>
  </w:style>
  <w:style w:type="character" w:styleId="Mencinsinresolver">
    <w:name w:val="Unresolved Mention"/>
    <w:basedOn w:val="Fuentedeprrafopredeter"/>
    <w:uiPriority w:val="99"/>
    <w:semiHidden w:val="1"/>
    <w:unhideWhenUsed w:val="1"/>
    <w:rsid w:val="00FF063E"/>
    <w:rPr>
      <w:color w:val="605e5c"/>
      <w:shd w:color="auto" w:fill="e1dfdd" w:val="clea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hora@bia.app" TargetMode="External"/><Relationship Id="rId8" Type="http://schemas.openxmlformats.org/officeDocument/2006/relationships/hyperlink" Target="mailto:juliana.bonilla@bia.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Light-regular.ttf"/><Relationship Id="rId4" Type="http://schemas.openxmlformats.org/officeDocument/2006/relationships/font" Target="fonts/HelveticaNeueLight-bold.ttf"/><Relationship Id="rId5" Type="http://schemas.openxmlformats.org/officeDocument/2006/relationships/font" Target="fonts/HelveticaNeueLight-italic.ttf"/><Relationship Id="rId6"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2.jpg"/><Relationship Id="rId4"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pRYwL7hh/3xrYGN93AUo7IyS5Q==">CgMxLjAaHwoBMBIaChgICVIUChJ0YWJsZS45N3lxMHFvOWlkajEyDmguZXdqZTZrbmpldXhvMg5oLnBoanZhM25mZzhvdzgAciExWHhGWWx0TnhPOXgweERfX3RHOGlaQVhCX0xSeFFPalA=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2024-05-02T21:59:00Z</dcterms:created>
</cp:coreProperties>
</file>