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0486" w14:textId="6FDF9052" w:rsidR="00CF3A40" w:rsidRPr="00E84355" w:rsidRDefault="00CF3A40" w:rsidP="00CF3A40">
      <w:pPr>
        <w:pStyle w:val="Ttulo2"/>
        <w:jc w:val="center"/>
        <w:rPr>
          <w:rFonts w:eastAsiaTheme="minorEastAsia" w:cstheme="majorHAnsi"/>
          <w:bCs/>
          <w:color w:val="000000"/>
          <w:kern w:val="0"/>
          <w:sz w:val="24"/>
          <w:szCs w:val="24"/>
          <w14:ligatures w14:val="none"/>
        </w:rPr>
      </w:pPr>
      <w:bookmarkStart w:id="0" w:name="_Toc210747363"/>
      <w:bookmarkStart w:id="1" w:name="_Hlk172232430"/>
      <w:bookmarkStart w:id="2" w:name="_Hlk192677962"/>
      <w:r w:rsidRPr="00E84355">
        <w:rPr>
          <w:rFonts w:eastAsiaTheme="minorEastAsia" w:cstheme="majorHAnsi"/>
          <w:bCs/>
          <w:color w:val="000000"/>
          <w:kern w:val="0"/>
          <w:sz w:val="24"/>
          <w:szCs w:val="24"/>
          <w14:ligatures w14:val="none"/>
        </w:rPr>
        <w:t>MINUTA DE LA OFERTA MERCANTIL</w:t>
      </w:r>
      <w:bookmarkEnd w:id="0"/>
    </w:p>
    <w:p w14:paraId="7AF75926" w14:textId="77777777" w:rsidR="00CF3A40" w:rsidRPr="00E84355" w:rsidRDefault="00CF3A40" w:rsidP="00CF3A40">
      <w:pPr>
        <w:pStyle w:val="Default"/>
        <w:jc w:val="both"/>
        <w:rPr>
          <w:rFonts w:asciiTheme="majorHAnsi" w:hAnsiTheme="majorHAnsi" w:cstheme="majorHAnsi"/>
          <w:b/>
          <w:color w:val="auto"/>
        </w:rPr>
      </w:pPr>
    </w:p>
    <w:p w14:paraId="7E240A27" w14:textId="77777777" w:rsidR="00CF3A40" w:rsidRPr="00E84355" w:rsidRDefault="00CF3A40" w:rsidP="00CF3A40">
      <w:pPr>
        <w:pStyle w:val="Default"/>
        <w:jc w:val="both"/>
        <w:rPr>
          <w:rFonts w:asciiTheme="majorHAnsi" w:hAnsiTheme="majorHAnsi" w:cstheme="majorHAnsi"/>
          <w:color w:val="auto"/>
        </w:rPr>
      </w:pPr>
    </w:p>
    <w:bookmarkEnd w:id="1"/>
    <w:bookmarkEnd w:id="2"/>
    <w:p w14:paraId="47A6640B"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[Ciudad y fecha]</w:t>
      </w:r>
    </w:p>
    <w:p w14:paraId="5558C6CC"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49CF60EB"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33C5E4EC"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49EC0B80"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Doctora</w:t>
      </w:r>
    </w:p>
    <w:p w14:paraId="7F81F833"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MARTHA LIBIA CASTAÑO TOVAR</w:t>
      </w:r>
    </w:p>
    <w:p w14:paraId="381BC067"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Gerente General </w:t>
      </w:r>
    </w:p>
    <w:p w14:paraId="1BB0FD45"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CENTRAL HIDROELÉCTRICA DE CALDAS S.A. E.S.P.  BIC</w:t>
      </w:r>
    </w:p>
    <w:p w14:paraId="6FF10F57"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Manizales </w:t>
      </w:r>
    </w:p>
    <w:p w14:paraId="0DE65D31"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5991D985"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4B52B069"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3E4697F7"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ASUNTO: ACEPTACION DE LA OFERTA MERCANTIL SEGÚN INVITACIÓN CP-CHCC2025-003 CRW359905.</w:t>
      </w:r>
    </w:p>
    <w:p w14:paraId="3540C72E"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1126117F"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7C79EA2F" w14:textId="4E3A83CE"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[Incluir nombre de la empresa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teniendo en cuenta su invitación a presentar oferta mercantil, presentamos a ustedes la siguiente oferta mercantil de suministro de energía No. CP-CHCC2025-003 CRW359905 en los términos y condiciones que se regirá por las siguientes cláusulas y en lo no previsto en ellas por las disposiciones legales que regulen la materia:</w:t>
      </w:r>
    </w:p>
    <w:p w14:paraId="6C19FDFD"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0BA1D308" w14:textId="3FE91253" w:rsidR="005321C0" w:rsidRPr="00E84355" w:rsidRDefault="00CF3A4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
          <w:color w:val="000000"/>
          <w:sz w:val="24"/>
          <w:szCs w:val="24"/>
          <w:lang w:eastAsia="en-US"/>
        </w:rPr>
        <w:t>PRIMERA:</w:t>
      </w:r>
      <w:r w:rsidRPr="00E84355">
        <w:rPr>
          <w:rFonts w:asciiTheme="majorHAnsi" w:hAnsiTheme="majorHAnsi" w:cstheme="majorHAnsi"/>
          <w:bCs/>
          <w:color w:val="000000"/>
          <w:sz w:val="24"/>
          <w:szCs w:val="24"/>
          <w:lang w:eastAsia="en-US"/>
        </w:rPr>
        <w:t xml:space="preserve"> Antecedentes. a) CHEC S.A. E.S.P BIC, realizó Invitación Pública de Oferta Mercantil CRW359905 para el suministro parcial de la energía y potencia eléctrica requeridas para atender el mercado regulado, incluyendo las pérdidas en el Sistema de Transmisión Nacional, para los años comprendidos entre el 1 de enero del 2027 al 31 de diciembre de 2030, y en todo caso la fecha de inicio del contrato será la fecha de registro, de acuerdo con la regulación vigente en el momento del registro. b) Que son actividades inherentes al objeto social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la generación y/o comercialización de energía. c) Que es actividad propia del objeto social de CHEC S.A. E.S.P BIC la generación y/o comercialización de energía eléctrica, además de la transmisión y/o distribución de </w:t>
      </w:r>
      <w:proofErr w:type="gramStart"/>
      <w:r w:rsidRPr="00E84355">
        <w:rPr>
          <w:rFonts w:asciiTheme="majorHAnsi" w:hAnsiTheme="majorHAnsi" w:cstheme="majorHAnsi"/>
          <w:bCs/>
          <w:color w:val="000000"/>
          <w:sz w:val="24"/>
          <w:szCs w:val="24"/>
          <w:lang w:eastAsia="en-US"/>
        </w:rPr>
        <w:t xml:space="preserve">la </w:t>
      </w:r>
      <w:r w:rsidRPr="00E84355">
        <w:rPr>
          <w:rFonts w:asciiTheme="majorHAnsi" w:hAnsiTheme="majorHAnsi" w:cstheme="majorHAnsi"/>
          <w:bCs/>
          <w:color w:val="000000"/>
          <w:sz w:val="24"/>
          <w:szCs w:val="24"/>
          <w:lang w:eastAsia="en-US"/>
        </w:rPr>
        <w:lastRenderedPageBreak/>
        <w:t>misma</w:t>
      </w:r>
      <w:proofErr w:type="gramEnd"/>
      <w:r w:rsidRPr="00E84355">
        <w:rPr>
          <w:rFonts w:asciiTheme="majorHAnsi" w:hAnsiTheme="majorHAnsi" w:cstheme="majorHAnsi"/>
          <w:bCs/>
          <w:color w:val="000000"/>
          <w:sz w:val="24"/>
          <w:szCs w:val="24"/>
          <w:lang w:eastAsia="en-US"/>
        </w:rPr>
        <w:t xml:space="preserve">. d) Que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y CHEC S.A. E.S.P BIC hacen parte del Sistema Interconectado Nacional -SIN- y por tanto el despacho de generación y la operación del sistema se sujetan a las normas y procedimientos establecidos por los organismos reguladores de dicho sistema. e) Que después que CHEC S.A. E.S.P BIC evaluó la totalidad de ofertas presentadas, esta oferta cumple con las condiciones establecidas en el pliego de condiciones y presenta el mejor precio para CHEC S.A. E.S.P BIC. f) Que la ejecución del Negocio Jurídico deberá realizarse conforme a las normas y procedimientos establecidos por el SIN, y particularmente por aquellos contenidos en el Reglamento de Operación del Sistema Interconectado Nacional junto con sus </w:t>
      </w:r>
      <w:proofErr w:type="spellStart"/>
      <w:r w:rsidRPr="00E84355">
        <w:rPr>
          <w:rFonts w:asciiTheme="majorHAnsi" w:hAnsiTheme="majorHAnsi" w:cstheme="majorHAnsi"/>
          <w:bCs/>
          <w:color w:val="000000"/>
          <w:sz w:val="24"/>
          <w:szCs w:val="24"/>
          <w:lang w:eastAsia="en-US"/>
        </w:rPr>
        <w:t>adiciones</w:t>
      </w:r>
      <w:proofErr w:type="spellEnd"/>
      <w:r w:rsidRPr="00E84355">
        <w:rPr>
          <w:rFonts w:asciiTheme="majorHAnsi" w:hAnsiTheme="majorHAnsi" w:cstheme="majorHAnsi"/>
          <w:bCs/>
          <w:color w:val="000000"/>
          <w:sz w:val="24"/>
          <w:szCs w:val="24"/>
          <w:lang w:eastAsia="en-US"/>
        </w:rPr>
        <w:t xml:space="preserve"> y modificaciones, cuyas reglas forman parte integrante e inseparable de este negocio jurídico, al igual que las normas y procedimientos establecidos o que se establezcan sobre la materia, durante la vigencia del Negocio Jurídico, por la Comisión de Regulación de Energía y Gas -CREG- o quien haga sus veces. </w:t>
      </w:r>
      <w:r w:rsidRPr="00E84355">
        <w:rPr>
          <w:rFonts w:asciiTheme="majorHAnsi" w:hAnsiTheme="majorHAnsi" w:cstheme="majorHAnsi"/>
          <w:b/>
          <w:color w:val="000000"/>
          <w:sz w:val="24"/>
          <w:szCs w:val="24"/>
          <w:lang w:eastAsia="en-US"/>
        </w:rPr>
        <w:t>SEGUNDA:</w:t>
      </w:r>
      <w:r w:rsidRPr="00E84355">
        <w:rPr>
          <w:rFonts w:asciiTheme="majorHAnsi" w:hAnsiTheme="majorHAnsi" w:cstheme="majorHAnsi"/>
          <w:bCs/>
          <w:color w:val="000000"/>
          <w:sz w:val="24"/>
          <w:szCs w:val="24"/>
          <w:lang w:eastAsia="en-US"/>
        </w:rPr>
        <w:t xml:space="preserve"> Objeto de la Oferta Mercantil. CHEC S.A. E.S.P BIC encarga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y éste se obliga a suministrarle parte de la energía y potencia eléctrica requeridas para atender su mercado regulado, según sus necesidades, así como se relaciona en el Anexo cantidades de energía y precio de esta Oferta Mercantil, de acuerdo con la modalidad de contrato “Pague Lo Contratado”, según los meses, precios y las cantidades, indicadas en el Pliego de Condiciones de la Invitación Pública de Oferta Mercantil No. CRW359905 y según la oferta aceptada. </w:t>
      </w:r>
      <w:r w:rsidRPr="00E84355">
        <w:rPr>
          <w:rFonts w:asciiTheme="majorHAnsi" w:hAnsiTheme="majorHAnsi" w:cstheme="majorHAnsi"/>
          <w:b/>
          <w:color w:val="000000"/>
          <w:sz w:val="24"/>
          <w:szCs w:val="24"/>
          <w:lang w:eastAsia="en-US"/>
        </w:rPr>
        <w:t>PARÁGRAFO 1:</w:t>
      </w:r>
      <w:r w:rsidRPr="00E84355">
        <w:rPr>
          <w:rFonts w:asciiTheme="majorHAnsi" w:hAnsiTheme="majorHAnsi" w:cstheme="majorHAnsi"/>
          <w:bCs/>
          <w:color w:val="000000"/>
          <w:sz w:val="24"/>
          <w:szCs w:val="24"/>
          <w:lang w:eastAsia="en-US"/>
        </w:rPr>
        <w:t xml:space="preserve"> Se entiende por necesidades de energía y potencia eléctrica efectivamente requeridas por CHEC S.A. E.S.P BIC,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incluyendo sus pérdidas reales hasta el STN, </w:t>
      </w:r>
      <w:r w:rsidRPr="00E84355">
        <w:rPr>
          <w:rFonts w:asciiTheme="majorHAnsi" w:hAnsiTheme="majorHAnsi" w:cstheme="majorHAnsi"/>
          <w:b/>
          <w:color w:val="000000"/>
          <w:sz w:val="24"/>
          <w:szCs w:val="24"/>
          <w:lang w:eastAsia="en-US"/>
        </w:rPr>
        <w:t>TERCERA:</w:t>
      </w:r>
      <w:r w:rsidRPr="00E84355">
        <w:rPr>
          <w:rFonts w:asciiTheme="majorHAnsi" w:hAnsiTheme="majorHAnsi" w:cstheme="majorHAnsi"/>
          <w:bCs/>
          <w:color w:val="000000"/>
          <w:sz w:val="24"/>
          <w:szCs w:val="24"/>
          <w:lang w:eastAsia="en-US"/>
        </w:rPr>
        <w:t xml:space="preserve"> Fecha de Iniciación del Suministro y Término de Duración. El suministro de la energía y potencia objeto de esta Oferta Mercantil se hará durante un plazo definido entre el (día)_____de (mes)______ de (año)______ y el (día)___de (mes) ______ de (año) _______ para un total de _________ (__) meses, en la forma dispuesta en el Pliego de Condiciones y acorde a como se acepte la oferta. </w:t>
      </w:r>
      <w:r w:rsidRPr="00E84355">
        <w:rPr>
          <w:rFonts w:asciiTheme="majorHAnsi" w:hAnsiTheme="majorHAnsi" w:cstheme="majorHAnsi"/>
          <w:b/>
          <w:color w:val="000000"/>
          <w:sz w:val="24"/>
          <w:szCs w:val="24"/>
          <w:lang w:eastAsia="en-US"/>
        </w:rPr>
        <w:t>CUARTA:</w:t>
      </w:r>
      <w:r w:rsidRPr="00E84355">
        <w:rPr>
          <w:rFonts w:asciiTheme="majorHAnsi" w:hAnsiTheme="majorHAnsi" w:cstheme="majorHAnsi"/>
          <w:bCs/>
          <w:color w:val="000000"/>
          <w:sz w:val="24"/>
          <w:szCs w:val="24"/>
          <w:lang w:eastAsia="en-US"/>
        </w:rPr>
        <w:t xml:space="preserve"> Valor de la Oferta Mercantil. Para cualquier efecto, la presente oferta mercantil es de cuantía indeterminada, porque este depende de los consumos mensuales registrados y de los precios reales en la medida en que se ejecute el objeto del Negocio Jurídico y durante la vigencia </w:t>
      </w:r>
      <w:proofErr w:type="gramStart"/>
      <w:r w:rsidRPr="00E84355">
        <w:rPr>
          <w:rFonts w:asciiTheme="majorHAnsi" w:hAnsiTheme="majorHAnsi" w:cstheme="majorHAnsi"/>
          <w:bCs/>
          <w:color w:val="000000"/>
          <w:sz w:val="24"/>
          <w:szCs w:val="24"/>
          <w:lang w:eastAsia="en-US"/>
        </w:rPr>
        <w:t>del mismo</w:t>
      </w:r>
      <w:proofErr w:type="gramEnd"/>
      <w:r w:rsidRPr="00E84355">
        <w:rPr>
          <w:rFonts w:asciiTheme="majorHAnsi" w:hAnsiTheme="majorHAnsi" w:cstheme="majorHAnsi"/>
          <w:bCs/>
          <w:color w:val="000000"/>
          <w:sz w:val="24"/>
          <w:szCs w:val="24"/>
          <w:lang w:eastAsia="en-US"/>
        </w:rPr>
        <w:t xml:space="preserve">. En consecuencia, el valor mensual del Negocio Jurídico es el que resulte de multiplicar el precio unitario para cada hora, en pesos por kilovatio-hora, actualizado mensualmente, por la cantidad de energía asignada a esta Oferta Mercantil, expresada en kilovatios-hora, del mercado regulado de CHEC S.A. E.S.P BIC mes a mes, </w:t>
      </w:r>
      <w:r w:rsidRPr="00E84355">
        <w:rPr>
          <w:rFonts w:asciiTheme="majorHAnsi" w:hAnsiTheme="majorHAnsi" w:cstheme="majorHAnsi"/>
          <w:b/>
          <w:color w:val="000000"/>
          <w:sz w:val="24"/>
          <w:szCs w:val="24"/>
          <w:lang w:eastAsia="en-US"/>
        </w:rPr>
        <w:t>QUINTA:</w:t>
      </w:r>
      <w:r w:rsidRPr="00E84355">
        <w:rPr>
          <w:rFonts w:asciiTheme="majorHAnsi" w:hAnsiTheme="majorHAnsi" w:cstheme="majorHAnsi"/>
          <w:bCs/>
          <w:color w:val="000000"/>
          <w:sz w:val="24"/>
          <w:szCs w:val="24"/>
          <w:lang w:eastAsia="en-US"/>
        </w:rPr>
        <w:t xml:space="preserve"> Precio Monomio de Energía. El precio de la energía se fija de acuerdo con lo descrito en el anexo cantidades de energía y precio</w:t>
      </w:r>
      <w:r w:rsidRPr="00E84355">
        <w:rPr>
          <w:rFonts w:asciiTheme="majorHAnsi" w:hAnsiTheme="majorHAnsi" w:cstheme="majorHAnsi"/>
          <w:b/>
          <w:color w:val="000000"/>
          <w:sz w:val="24"/>
          <w:szCs w:val="24"/>
          <w:lang w:eastAsia="en-US"/>
        </w:rPr>
        <w:t xml:space="preserve"> </w:t>
      </w:r>
      <w:r w:rsidRPr="00E84355">
        <w:rPr>
          <w:rFonts w:asciiTheme="majorHAnsi" w:hAnsiTheme="majorHAnsi" w:cstheme="majorHAnsi"/>
          <w:bCs/>
          <w:color w:val="000000"/>
          <w:sz w:val="24"/>
          <w:szCs w:val="24"/>
          <w:lang w:eastAsia="en-US"/>
        </w:rPr>
        <w:t xml:space="preserve">por kilovatio-hora, en pesos colombianos constantes de agosto de 2025. Este precio incluye todos los cargos que son responsabilidad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de acuerdo con las resoluciones vigentes a la fecha de cierre de la Invitación Pública de Oferta Mercantil No. CRW359905. Para la indexación mensual de los precios del Negocio Jurídico, expresados en $/kWh de agosto de 2025, hasta el inicio de suministro y durante todo el período de suministro, se utilizará, el resultante de aplicar las siguientes fórmulas: la indexación mensual del(los) precio(s) de la(s) oferta (s) aceptada(s) se hará con base en el Índice de Precios al Productor mensual serie </w:t>
      </w:r>
      <w:r w:rsidRPr="00E84355">
        <w:rPr>
          <w:rFonts w:asciiTheme="majorHAnsi" w:hAnsiTheme="majorHAnsi" w:cstheme="majorHAnsi"/>
          <w:bCs/>
          <w:color w:val="000000"/>
          <w:sz w:val="24"/>
          <w:szCs w:val="24"/>
          <w:lang w:eastAsia="en-US"/>
        </w:rPr>
        <w:lastRenderedPageBreak/>
        <w:t xml:space="preserve">Oferta Interna Provisional reportado por el DANE o quién haga sus veces y se actualizará bajo la siguiente formula: </w:t>
      </w:r>
      <w:r w:rsidRPr="00E84355">
        <w:rPr>
          <w:rFonts w:ascii="Cambria Math" w:hAnsi="Cambria Math" w:cs="Cambria Math"/>
          <w:bCs/>
          <w:color w:val="000000"/>
          <w:sz w:val="24"/>
          <w:szCs w:val="24"/>
          <w:lang w:eastAsia="en-US"/>
        </w:rPr>
        <w:t>𝑃</w:t>
      </w:r>
      <w:r w:rsidRPr="00E84355">
        <w:rPr>
          <w:rFonts w:asciiTheme="majorHAnsi" w:hAnsiTheme="majorHAnsi" w:cstheme="majorHAnsi"/>
          <w:bCs/>
          <w:color w:val="000000"/>
          <w:sz w:val="24"/>
          <w:szCs w:val="24"/>
          <w:lang w:eastAsia="en-US"/>
        </w:rPr>
        <w:t xml:space="preserve"> </w:t>
      </w:r>
      <w:r w:rsidRPr="00E84355">
        <w:rPr>
          <w:rFonts w:ascii="Cambria Math" w:hAnsi="Cambria Math" w:cs="Cambria Math"/>
          <w:bCs/>
          <w:color w:val="000000"/>
          <w:sz w:val="24"/>
          <w:szCs w:val="24"/>
          <w:lang w:eastAsia="en-US"/>
        </w:rPr>
        <w:t>𝑚𝑒𝑠</w:t>
      </w:r>
      <w:r w:rsidRPr="00E84355">
        <w:rPr>
          <w:rFonts w:asciiTheme="majorHAnsi" w:hAnsiTheme="majorHAnsi" w:cstheme="majorHAnsi"/>
          <w:bCs/>
          <w:color w:val="000000"/>
          <w:sz w:val="24"/>
          <w:szCs w:val="24"/>
          <w:lang w:eastAsia="en-US"/>
        </w:rPr>
        <w:t xml:space="preserve"> </w:t>
      </w:r>
      <w:r w:rsidRPr="00E84355">
        <w:rPr>
          <w:rFonts w:ascii="Cambria Math" w:hAnsi="Cambria Math" w:cs="Cambria Math"/>
          <w:bCs/>
          <w:color w:val="000000"/>
          <w:sz w:val="24"/>
          <w:szCs w:val="24"/>
          <w:lang w:eastAsia="en-US"/>
        </w:rPr>
        <w:t>𝑖</w:t>
      </w:r>
      <w:r w:rsidRPr="00E84355">
        <w:rPr>
          <w:rFonts w:asciiTheme="majorHAnsi" w:hAnsiTheme="majorHAnsi" w:cstheme="majorHAnsi"/>
          <w:bCs/>
          <w:color w:val="000000"/>
          <w:sz w:val="24"/>
          <w:szCs w:val="24"/>
          <w:lang w:eastAsia="en-US"/>
        </w:rPr>
        <w:t xml:space="preserve"> = </w:t>
      </w:r>
      <w:r w:rsidRPr="00E84355">
        <w:rPr>
          <w:rFonts w:ascii="Cambria Math" w:hAnsi="Cambria Math" w:cs="Cambria Math"/>
          <w:bCs/>
          <w:color w:val="000000"/>
          <w:sz w:val="24"/>
          <w:szCs w:val="24"/>
          <w:lang w:eastAsia="en-US"/>
        </w:rPr>
        <w:t>𝑃</w:t>
      </w:r>
      <w:r w:rsidRPr="00E84355">
        <w:rPr>
          <w:rFonts w:asciiTheme="majorHAnsi" w:hAnsiTheme="majorHAnsi" w:cstheme="majorHAnsi"/>
          <w:bCs/>
          <w:color w:val="000000"/>
          <w:sz w:val="24"/>
          <w:szCs w:val="24"/>
          <w:lang w:eastAsia="en-US"/>
        </w:rPr>
        <w:t xml:space="preserve"> agosto 25</w:t>
      </w:r>
      <w:r w:rsidRPr="00E84355">
        <w:rPr>
          <w:rFonts w:ascii="Cambria Math" w:hAnsi="Cambria Math" w:cs="Cambria Math"/>
          <w:bCs/>
          <w:color w:val="000000"/>
          <w:sz w:val="24"/>
          <w:szCs w:val="24"/>
          <w:lang w:eastAsia="en-US"/>
        </w:rPr>
        <w:t>∗</w:t>
      </w:r>
      <w:r w:rsidRPr="00E84355">
        <w:rPr>
          <w:rFonts w:asciiTheme="majorHAnsi" w:hAnsiTheme="majorHAnsi" w:cstheme="majorHAnsi"/>
          <w:bCs/>
          <w:color w:val="000000"/>
          <w:sz w:val="24"/>
          <w:szCs w:val="24"/>
          <w:lang w:eastAsia="en-US"/>
        </w:rPr>
        <w:t xml:space="preserve"> </w:t>
      </w:r>
      <w:r w:rsidRPr="00E84355">
        <w:rPr>
          <w:rFonts w:ascii="Cambria Math" w:hAnsi="Cambria Math" w:cs="Cambria Math"/>
          <w:bCs/>
          <w:color w:val="000000"/>
          <w:sz w:val="24"/>
          <w:szCs w:val="24"/>
          <w:lang w:eastAsia="en-US"/>
        </w:rPr>
        <w:t>𝐼𝑃𝑃</w:t>
      </w:r>
      <w:r w:rsidRPr="00E84355">
        <w:rPr>
          <w:rFonts w:asciiTheme="majorHAnsi" w:hAnsiTheme="majorHAnsi" w:cstheme="majorHAnsi"/>
          <w:bCs/>
          <w:color w:val="000000"/>
          <w:sz w:val="24"/>
          <w:szCs w:val="24"/>
          <w:lang w:eastAsia="en-US"/>
        </w:rPr>
        <w:t xml:space="preserve"> </w:t>
      </w:r>
      <w:r w:rsidRPr="00E84355">
        <w:rPr>
          <w:rFonts w:ascii="Cambria Math" w:hAnsi="Cambria Math" w:cs="Cambria Math"/>
          <w:bCs/>
          <w:color w:val="000000"/>
          <w:sz w:val="24"/>
          <w:szCs w:val="24"/>
          <w:lang w:eastAsia="en-US"/>
        </w:rPr>
        <w:t>𝑚𝑒𝑠</w:t>
      </w:r>
      <w:r w:rsidRPr="00E84355">
        <w:rPr>
          <w:rFonts w:asciiTheme="majorHAnsi" w:hAnsiTheme="majorHAnsi" w:cstheme="majorHAnsi"/>
          <w:bCs/>
          <w:color w:val="000000"/>
          <w:sz w:val="24"/>
          <w:szCs w:val="24"/>
          <w:lang w:eastAsia="en-US"/>
        </w:rPr>
        <w:t xml:space="preserve"> </w:t>
      </w:r>
      <w:r w:rsidRPr="00E84355">
        <w:rPr>
          <w:rFonts w:ascii="Cambria Math" w:hAnsi="Cambria Math" w:cs="Cambria Math"/>
          <w:bCs/>
          <w:color w:val="000000"/>
          <w:sz w:val="24"/>
          <w:szCs w:val="24"/>
          <w:lang w:eastAsia="en-US"/>
        </w:rPr>
        <w:t>𝑖</w:t>
      </w:r>
      <w:r w:rsidRPr="00E84355">
        <w:rPr>
          <w:rFonts w:asciiTheme="majorHAnsi" w:hAnsiTheme="majorHAnsi" w:cstheme="majorHAnsi"/>
          <w:bCs/>
          <w:color w:val="000000"/>
          <w:sz w:val="24"/>
          <w:szCs w:val="24"/>
          <w:lang w:eastAsia="en-US"/>
        </w:rPr>
        <w:t xml:space="preserve"> / </w:t>
      </w:r>
      <w:r w:rsidRPr="00E84355">
        <w:rPr>
          <w:rFonts w:ascii="Cambria Math" w:hAnsi="Cambria Math" w:cs="Cambria Math"/>
          <w:bCs/>
          <w:color w:val="000000"/>
          <w:sz w:val="24"/>
          <w:szCs w:val="24"/>
          <w:lang w:eastAsia="en-US"/>
        </w:rPr>
        <w:t>𝐼𝑃𝑃</w:t>
      </w:r>
      <w:r w:rsidRPr="00E84355">
        <w:rPr>
          <w:rFonts w:asciiTheme="majorHAnsi" w:hAnsiTheme="majorHAnsi" w:cstheme="majorHAnsi"/>
          <w:bCs/>
          <w:color w:val="000000"/>
          <w:sz w:val="24"/>
          <w:szCs w:val="24"/>
          <w:lang w:eastAsia="en-US"/>
        </w:rPr>
        <w:t xml:space="preserve"> agosto 25 donde: P mes i = Precio del mes consumo a facturar; P agosto 25 = Precio ofertado en pesos constantes de agosto 25; IPP mes i = Índice de Precios al Productor Oferta Interna Provisional del mes i; IPP agosto 25 = Índice de Precios al Productor Serie Oferta Interna Provisional de agosto 2025 certificado por la entidad competente. Los demás cargos se reajustarán cómo y cuándo así lo autorice la CREG</w:t>
      </w:r>
      <w:r w:rsidRPr="00E84355">
        <w:rPr>
          <w:rFonts w:asciiTheme="majorHAnsi" w:hAnsiTheme="majorHAnsi" w:cstheme="majorHAnsi"/>
          <w:b/>
          <w:color w:val="000000"/>
          <w:sz w:val="24"/>
          <w:szCs w:val="24"/>
          <w:lang w:eastAsia="en-US"/>
        </w:rPr>
        <w:t>. PARÁGRAFO 1:</w:t>
      </w:r>
      <w:r w:rsidRPr="00E84355">
        <w:rPr>
          <w:rFonts w:asciiTheme="majorHAnsi" w:hAnsiTheme="majorHAnsi" w:cstheme="majorHAnsi"/>
          <w:bCs/>
          <w:color w:val="000000"/>
          <w:sz w:val="24"/>
          <w:szCs w:val="24"/>
          <w:lang w:eastAsia="en-US"/>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 </w:t>
      </w:r>
      <w:r w:rsidRPr="00E84355">
        <w:rPr>
          <w:rFonts w:asciiTheme="majorHAnsi" w:hAnsiTheme="majorHAnsi" w:cstheme="majorHAnsi"/>
          <w:b/>
          <w:color w:val="000000"/>
          <w:sz w:val="24"/>
          <w:szCs w:val="24"/>
          <w:lang w:eastAsia="en-US"/>
        </w:rPr>
        <w:t>PARÁGRAFO 2:</w:t>
      </w:r>
      <w:r w:rsidRPr="00E84355">
        <w:rPr>
          <w:rFonts w:asciiTheme="majorHAnsi" w:hAnsiTheme="majorHAnsi" w:cstheme="majorHAnsi"/>
          <w:bCs/>
          <w:color w:val="000000"/>
          <w:sz w:val="24"/>
          <w:szCs w:val="24"/>
          <w:lang w:eastAsia="en-US"/>
        </w:rPr>
        <w:t xml:space="preserve"> De acuerdo con la Circular 014 expedida por la CREG el 12 de septiembre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regulación con nuevas disposiciones, las cuales deberán adherirse a las condiciones pactadas en este Negocio Jurídico.  </w:t>
      </w:r>
      <w:r w:rsidRPr="00E84355">
        <w:rPr>
          <w:rFonts w:asciiTheme="majorHAnsi" w:hAnsiTheme="majorHAnsi" w:cstheme="majorHAnsi"/>
          <w:b/>
          <w:color w:val="000000"/>
          <w:sz w:val="24"/>
          <w:szCs w:val="24"/>
          <w:lang w:eastAsia="en-US"/>
        </w:rPr>
        <w:t>SEXTA:</w:t>
      </w:r>
      <w:r w:rsidRPr="00E84355">
        <w:rPr>
          <w:rFonts w:asciiTheme="majorHAnsi" w:hAnsiTheme="majorHAnsi" w:cstheme="majorHAnsi"/>
          <w:bCs/>
          <w:color w:val="000000"/>
          <w:sz w:val="24"/>
          <w:szCs w:val="24"/>
          <w:lang w:eastAsia="en-US"/>
        </w:rPr>
        <w:t xml:space="preserve"> Puntos de Entrega. La entrega de la energía por parte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a CHEC S.A. E.S.P BIC se hará en los puntos actuales de frontera de éstas con el Sistema de Transmisión Nacional y en los nuevos puntos de frontera con el STN que surjan por el crecimiento del mercado de CHEC S.A. E.S.P BIC. </w:t>
      </w:r>
      <w:r w:rsidRPr="00E84355">
        <w:rPr>
          <w:rFonts w:asciiTheme="majorHAnsi" w:hAnsiTheme="majorHAnsi" w:cstheme="majorHAnsi"/>
          <w:b/>
          <w:color w:val="000000"/>
          <w:sz w:val="24"/>
          <w:szCs w:val="24"/>
          <w:lang w:eastAsia="en-US"/>
        </w:rPr>
        <w:t>SÉPTIMA:</w:t>
      </w:r>
      <w:r w:rsidRPr="00E84355">
        <w:rPr>
          <w:rFonts w:asciiTheme="majorHAnsi" w:hAnsiTheme="majorHAnsi" w:cstheme="majorHAnsi"/>
          <w:bCs/>
          <w:color w:val="000000"/>
          <w:sz w:val="24"/>
          <w:szCs w:val="24"/>
          <w:lang w:eastAsia="en-US"/>
        </w:rPr>
        <w:t xml:space="preserve"> Cantidad Asignada. Los suministros objeto de esta Oferta Mercantil se efectuarán de acuerdo con la cantidad total asignada por CHEC S.A. E.S.P BIC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expresada en kWh para cada hora</w:t>
      </w:r>
      <w:r w:rsidRPr="00E84355">
        <w:rPr>
          <w:rFonts w:asciiTheme="majorHAnsi" w:hAnsiTheme="majorHAnsi" w:cstheme="majorHAnsi"/>
          <w:b/>
          <w:color w:val="000000"/>
          <w:sz w:val="24"/>
          <w:szCs w:val="24"/>
          <w:lang w:eastAsia="en-US"/>
        </w:rPr>
        <w:t>. OCTAVA</w:t>
      </w:r>
      <w:r w:rsidRPr="00E84355">
        <w:rPr>
          <w:rFonts w:asciiTheme="majorHAnsi" w:hAnsiTheme="majorHAnsi" w:cstheme="majorHAnsi"/>
          <w:bCs/>
          <w:color w:val="000000"/>
          <w:sz w:val="24"/>
          <w:szCs w:val="24"/>
          <w:lang w:eastAsia="en-US"/>
        </w:rPr>
        <w:t xml:space="preserve">: Medio de Cobro y Forma de Pago. El valor de la energía será cobrado mensualmente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a CHEC S.A. E.S.P BIC de acuerdo con el precio aceptado y de conformidad con la Cláusula Quinta de la Oferta Mercantil, a más tardar 15 (quince) días calendario antes de la fecha de pago, considerando la última versión oficial del ASIC. El medio de cobro empleado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deberá ser dirigido a la dirección informada por CHEC S.A. E.S.P BIC, dando cumplimiento a lo dispuesto en el Decreto 1625 de 2016 del Ministerio de Hacienda y Crédito Público, acerca del modelo de facturación electrónica, deberá enviar las facturas (En archivo XML y PDF) al buzón de CHEC S.A. E.S.P BIC </w:t>
      </w:r>
      <w:hyperlink r:id="rId5" w:history="1">
        <w:r w:rsidRPr="00E84355">
          <w:rPr>
            <w:rStyle w:val="Hipervnculo"/>
            <w:rFonts w:cstheme="majorHAnsi"/>
            <w:bCs/>
            <w:sz w:val="24"/>
            <w:szCs w:val="24"/>
            <w:lang w:eastAsia="en-US"/>
          </w:rPr>
          <w:t>facturaelectronicachec@grupo-epm.com</w:t>
        </w:r>
      </w:hyperlink>
      <w:r w:rsidR="00FA4F39" w:rsidRPr="00E84355">
        <w:t xml:space="preserve"> </w:t>
      </w:r>
      <w:r w:rsidRPr="00E84355">
        <w:rPr>
          <w:rFonts w:asciiTheme="majorHAnsi" w:hAnsiTheme="majorHAnsi" w:cstheme="majorHAnsi"/>
          <w:bCs/>
          <w:color w:val="000000"/>
          <w:sz w:val="24"/>
          <w:szCs w:val="24"/>
          <w:lang w:eastAsia="en-US"/>
        </w:rPr>
        <w:t xml:space="preserve">. Dicho medio de cobro además de los requisitos contemplados en el artículo 617 del Estatuto Tributario deberá contener como mínimo los siguientes conceptos: 1. Fecha de elaboración y fecha de vencimiento. 2. la cantidad total asignada en kWh para el mes. 3. El precio de la energía eléctrica correspondiente al mes de consumo con dos decimales. 4. Versión de la liquidación del ASIC utilizada para el cobro. 5. Valor total a cobrar en el medio de cobro empleado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como resultado de multiplicar la cantidad de energía eléctrica realmente entregada por el respectivo precio. 6. Las modificaciones o ajustes al medio de cobro deben tener la misma fecha de vencimiento consignada en el medio de cobro inicial empleado para el mes. CHEC S.A. E.S.P BIC cancelará la suma respectiva en pesos colombianos, una vez descontados los impuestos, gravámenes o contribuciones que haya lugar; el plazo de pago será de treinta (30) días calendario, contados a partir del último día del mes correspondiente de consumo, siempre y cuando dicho medio de cobro haya sido </w:t>
      </w:r>
      <w:r w:rsidRPr="00E84355">
        <w:rPr>
          <w:rFonts w:asciiTheme="majorHAnsi" w:hAnsiTheme="majorHAnsi" w:cstheme="majorHAnsi"/>
          <w:bCs/>
          <w:color w:val="000000"/>
          <w:sz w:val="24"/>
          <w:szCs w:val="24"/>
          <w:lang w:eastAsia="en-US"/>
        </w:rPr>
        <w:lastRenderedPageBreak/>
        <w:t>recibido por CHEC S.A. E.S.P BIC en forma cumplida. Para los casos en que el día (30) calendario, corresponda a un día no hábil el vencimiento del medio de cobro será el primer día hábil siguiente</w:t>
      </w:r>
      <w:r w:rsidRPr="00E84355">
        <w:rPr>
          <w:rFonts w:asciiTheme="majorHAnsi" w:hAnsiTheme="majorHAnsi" w:cstheme="majorHAnsi"/>
          <w:b/>
          <w:color w:val="000000"/>
          <w:sz w:val="24"/>
          <w:szCs w:val="24"/>
          <w:lang w:eastAsia="en-US"/>
        </w:rPr>
        <w:t>. PARÁGRAFO 1</w:t>
      </w:r>
      <w:r w:rsidRPr="00E84355">
        <w:rPr>
          <w:rFonts w:asciiTheme="majorHAnsi" w:hAnsiTheme="majorHAnsi" w:cstheme="majorHAnsi"/>
          <w:bCs/>
          <w:color w:val="000000"/>
          <w:sz w:val="24"/>
          <w:szCs w:val="24"/>
          <w:lang w:eastAsia="en-US"/>
        </w:rPr>
        <w:t xml:space="preserve">: Si CHEC S.A. E.S.P BIC no paga lo adeudado en el término establecido reconocerá intereses liquidados con la tasa máxima legal moratoria para pagos en mora, certificada por la Superintendencia Financiera para el mes respectivo. </w:t>
      </w:r>
      <w:r w:rsidRPr="00E84355">
        <w:rPr>
          <w:rFonts w:asciiTheme="majorHAnsi" w:hAnsiTheme="majorHAnsi" w:cstheme="majorHAnsi"/>
          <w:b/>
          <w:color w:val="000000"/>
          <w:sz w:val="24"/>
          <w:szCs w:val="24"/>
          <w:lang w:eastAsia="en-US"/>
        </w:rPr>
        <w:t>PARÁGRAFO 2:</w:t>
      </w:r>
      <w:r w:rsidRPr="00E84355">
        <w:rPr>
          <w:rFonts w:asciiTheme="majorHAnsi" w:hAnsiTheme="majorHAnsi" w:cstheme="majorHAnsi"/>
          <w:bCs/>
          <w:color w:val="000000"/>
          <w:sz w:val="24"/>
          <w:szCs w:val="24"/>
          <w:lang w:eastAsia="en-US"/>
        </w:rPr>
        <w:t xml:space="preserve"> En caso de presentarse errores o discrepancias en la factura, respecto al valor que debe ser cancelado en uno o cualquiera de sus respectivos conceptos, CHEC S.A. E.S.P BIC estará obligado a cancelarle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el valor allí señalado, excluyendo la cantidad glosada y dispondrá de un término de 3 (tres) días hábiles, contados a partir de la fecha de su recibo por CHEC S.A. E.S.P BIC para manifestar por escrito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las razones de su inconformidad. Si CHEC S.A. E.S.P BIC acepta las razones expuestas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señalado en la Cláusula Décima Novena de la presente oferta. </w:t>
      </w:r>
      <w:r w:rsidRPr="00E84355">
        <w:rPr>
          <w:rFonts w:asciiTheme="majorHAnsi" w:hAnsiTheme="majorHAnsi" w:cstheme="majorHAnsi"/>
          <w:b/>
          <w:color w:val="000000"/>
          <w:sz w:val="24"/>
          <w:szCs w:val="24"/>
          <w:lang w:eastAsia="en-US"/>
        </w:rPr>
        <w:t>PARÁGRAFO 3</w:t>
      </w:r>
      <w:r w:rsidRPr="00E84355">
        <w:rPr>
          <w:rFonts w:asciiTheme="majorHAnsi" w:hAnsiTheme="majorHAnsi" w:cstheme="majorHAnsi"/>
          <w:bCs/>
          <w:color w:val="000000"/>
          <w:sz w:val="24"/>
          <w:szCs w:val="24"/>
          <w:lang w:eastAsia="en-US"/>
        </w:rPr>
        <w:t xml:space="preserve">: CHEC S.A. E.S.P BIC no realizará el pago de la respectiva factura, hasta tanto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suministre paz y salvo de pago por aportes a la seguridad social y parafiscales, mediante certificado expedido por el Revisor Fiscal o en su defecto por el representante Legal, sin que esta situación genere el pago de intereses de ningún tipo a favor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r w:rsidRPr="00E84355">
        <w:rPr>
          <w:rFonts w:asciiTheme="majorHAnsi" w:hAnsiTheme="majorHAnsi" w:cstheme="majorHAnsi"/>
          <w:b/>
          <w:color w:val="000000"/>
          <w:sz w:val="24"/>
          <w:szCs w:val="24"/>
          <w:lang w:eastAsia="en-US"/>
        </w:rPr>
        <w:t>PARÁGRAFO 4:</w:t>
      </w:r>
      <w:r w:rsidRPr="00E84355">
        <w:rPr>
          <w:rFonts w:asciiTheme="majorHAnsi" w:hAnsiTheme="majorHAnsi" w:cstheme="majorHAnsi"/>
          <w:bCs/>
          <w:color w:val="000000"/>
          <w:sz w:val="24"/>
          <w:szCs w:val="24"/>
          <w:lang w:eastAsia="en-US"/>
        </w:rPr>
        <w:t xml:space="preserve">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CHEC S.A. E.S.P BIC, siempre que esto haya ocurrido con 15 (quince días) de anticipación. Las modificaciones o ajustes derivados de la aplicación de la indexación mensual de los precios de la Oferta Mercantil,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r w:rsidRPr="00E84355">
        <w:rPr>
          <w:rFonts w:asciiTheme="majorHAnsi" w:hAnsiTheme="majorHAnsi" w:cstheme="majorHAnsi"/>
          <w:b/>
          <w:color w:val="000000"/>
          <w:sz w:val="24"/>
          <w:szCs w:val="24"/>
          <w:lang w:eastAsia="en-US"/>
        </w:rPr>
        <w:t>NOVENA:</w:t>
      </w:r>
      <w:r w:rsidRPr="00E84355">
        <w:rPr>
          <w:rFonts w:asciiTheme="majorHAnsi" w:hAnsiTheme="majorHAnsi" w:cstheme="majorHAnsi"/>
          <w:bCs/>
          <w:color w:val="000000"/>
          <w:sz w:val="24"/>
          <w:szCs w:val="24"/>
          <w:lang w:eastAsia="en-US"/>
        </w:rPr>
        <w:t xml:space="preserve"> Sujeción de los Pagos a las Apropiaciones Presupuestales. Todos los pagos que CHEC S.A. E.S.P BIC se obliga a realizar se harán con recursos propios incluidos en los presupuestos de gastos de las respectivas vigencias fiscales. </w:t>
      </w:r>
      <w:r w:rsidRPr="00E84355">
        <w:rPr>
          <w:rFonts w:asciiTheme="majorHAnsi" w:hAnsiTheme="majorHAnsi" w:cstheme="majorHAnsi"/>
          <w:b/>
          <w:color w:val="000000"/>
          <w:sz w:val="24"/>
          <w:szCs w:val="24"/>
          <w:lang w:eastAsia="en-US"/>
        </w:rPr>
        <w:t>DÉCIMA</w:t>
      </w:r>
      <w:r w:rsidRPr="00E84355">
        <w:rPr>
          <w:rFonts w:asciiTheme="majorHAnsi" w:hAnsiTheme="majorHAnsi" w:cstheme="majorHAnsi"/>
          <w:bCs/>
          <w:color w:val="000000"/>
          <w:sz w:val="24"/>
          <w:szCs w:val="24"/>
          <w:lang w:eastAsia="en-US"/>
        </w:rPr>
        <w:t xml:space="preserve">: Registro de la Oferta Mercantil y de la Orden de Compra. El registro de la Oferta Mercantil y la Orden de Compra ante el ASIC, tendrá como efecto primordial permitir la liquidación y facturación de los intercambios de energía de las </w:t>
      </w:r>
      <w:r w:rsidRPr="00E84355">
        <w:rPr>
          <w:rFonts w:asciiTheme="majorHAnsi" w:hAnsiTheme="majorHAnsi" w:cstheme="majorHAnsi"/>
          <w:bCs/>
          <w:color w:val="000000"/>
          <w:sz w:val="24"/>
          <w:szCs w:val="24"/>
          <w:lang w:eastAsia="en-US"/>
        </w:rPr>
        <w:lastRenderedPageBreak/>
        <w:t xml:space="preserve">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 la presente Oferta Mercantil el Reglamento de Operación, especialmente los Códigos de Red y Comercial del SIN, así como el Estatuto de Racionamiento y los que los modifiquen o deroguen. </w:t>
      </w:r>
      <w:r w:rsidRPr="00E84355">
        <w:rPr>
          <w:rFonts w:asciiTheme="majorHAnsi" w:hAnsiTheme="majorHAnsi" w:cstheme="majorHAnsi"/>
          <w:b/>
          <w:color w:val="000000"/>
          <w:sz w:val="24"/>
          <w:szCs w:val="24"/>
          <w:lang w:eastAsia="en-US"/>
        </w:rPr>
        <w:t>PARÁGRAFO</w:t>
      </w:r>
      <w:r w:rsidRPr="00E84355">
        <w:rPr>
          <w:rFonts w:asciiTheme="majorHAnsi" w:hAnsiTheme="majorHAnsi" w:cstheme="majorHAnsi"/>
          <w:bCs/>
          <w:color w:val="000000"/>
          <w:sz w:val="24"/>
          <w:szCs w:val="24"/>
          <w:lang w:eastAsia="en-US"/>
        </w:rPr>
        <w:t xml:space="preserve">: a) CHEC S.A. E.S.P BIC se encargará del registro de la presente Oferta Mercantil y Orden de Compra ante el ASIC. Si por cualquier causa imputable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que aprobarlo digitalmente es una obligación de las partes,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157 de 2011, o aquellas que la modifiquen. </w:t>
      </w:r>
      <w:r w:rsidRPr="00E84355">
        <w:rPr>
          <w:rFonts w:asciiTheme="majorHAnsi" w:hAnsiTheme="majorHAnsi" w:cstheme="majorHAnsi"/>
          <w:b/>
          <w:color w:val="000000"/>
          <w:sz w:val="24"/>
          <w:szCs w:val="24"/>
          <w:lang w:eastAsia="en-US"/>
        </w:rPr>
        <w:t>DÉCIMA PRIMERA:</w:t>
      </w:r>
      <w:r w:rsidRPr="00E84355">
        <w:rPr>
          <w:rFonts w:asciiTheme="majorHAnsi" w:hAnsiTheme="majorHAnsi" w:cstheme="majorHAnsi"/>
          <w:bCs/>
          <w:color w:val="000000"/>
          <w:sz w:val="24"/>
          <w:szCs w:val="24"/>
          <w:lang w:eastAsia="en-US"/>
        </w:rPr>
        <w:t xml:space="preserve"> Límite de Responsabilidad e Indemnizaciones. Cada una de las partes será responsable por los perjuicios que le ocasione a la otra, siempre y cuando provengan o sean consecuencia de culpa o negligencia de la parte contra la cual se alega. </w:t>
      </w:r>
      <w:r w:rsidRPr="00E84355">
        <w:rPr>
          <w:rFonts w:asciiTheme="majorHAnsi" w:hAnsiTheme="majorHAnsi" w:cstheme="majorHAnsi"/>
          <w:b/>
          <w:color w:val="000000"/>
          <w:sz w:val="24"/>
          <w:szCs w:val="24"/>
          <w:lang w:eastAsia="en-US"/>
        </w:rPr>
        <w:t>PARÁGRAFO</w:t>
      </w:r>
      <w:r w:rsidRPr="00E84355">
        <w:rPr>
          <w:rFonts w:asciiTheme="majorHAnsi" w:hAnsiTheme="majorHAnsi" w:cstheme="majorHAnsi"/>
          <w:bCs/>
          <w:color w:val="000000"/>
          <w:sz w:val="24"/>
          <w:szCs w:val="24"/>
          <w:lang w:eastAsia="en-US"/>
        </w:rPr>
        <w:t xml:space="preserve">: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r w:rsidRPr="00E84355">
        <w:rPr>
          <w:rFonts w:asciiTheme="majorHAnsi" w:hAnsiTheme="majorHAnsi" w:cstheme="majorHAnsi"/>
          <w:b/>
          <w:color w:val="000000"/>
          <w:sz w:val="24"/>
          <w:szCs w:val="24"/>
          <w:lang w:eastAsia="en-US"/>
        </w:rPr>
        <w:t>DÉCIMA SEGUNDA</w:t>
      </w:r>
      <w:r w:rsidRPr="00E84355">
        <w:rPr>
          <w:rFonts w:asciiTheme="majorHAnsi" w:hAnsiTheme="majorHAnsi" w:cstheme="majorHAnsi"/>
          <w:bCs/>
          <w:color w:val="000000"/>
          <w:sz w:val="24"/>
          <w:szCs w:val="24"/>
          <w:lang w:eastAsia="en-US"/>
        </w:rPr>
        <w:t xml:space="preserve">: Estatuto de Racionamiento.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y CHEC S.A. E.S.P BIC, en su condición de miembros integrantes del SIN, se someten a las condiciones del Estatuto de Racionamiento, de acuerdo con las Resoluciones CREG 217 de 1997, CREG 119 de 1998, CREG 190 de 2009 o aquellas que con posterioridad las modifiquen, adicionen o sustituyan. </w:t>
      </w:r>
      <w:r w:rsidRPr="00E84355">
        <w:rPr>
          <w:rFonts w:asciiTheme="majorHAnsi" w:hAnsiTheme="majorHAnsi" w:cstheme="majorHAnsi"/>
          <w:b/>
          <w:color w:val="000000"/>
          <w:sz w:val="24"/>
          <w:szCs w:val="24"/>
          <w:lang w:eastAsia="en-US"/>
        </w:rPr>
        <w:t>DÉCIMA TERCERA</w:t>
      </w:r>
      <w:r w:rsidRPr="00E84355">
        <w:rPr>
          <w:rFonts w:asciiTheme="majorHAnsi" w:hAnsiTheme="majorHAnsi" w:cstheme="majorHAnsi"/>
          <w:bCs/>
          <w:color w:val="000000"/>
          <w:sz w:val="24"/>
          <w:szCs w:val="24"/>
          <w:lang w:eastAsia="en-US"/>
        </w:rPr>
        <w:t xml:space="preserve">: Fuerza Mayor y Caso Fortuito. Las Partes quedarán exentas de toda responsabilidad por dilación u omisión en el cumplimiento de las obligaciones del Negocio Jurídico cuando dichos eventos ocurran por causa constitutiva de fuerza mayor o caso fortuito, debidamente comprobada, por fuera del control de La Parte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E84355">
        <w:rPr>
          <w:rFonts w:asciiTheme="majorHAnsi" w:hAnsiTheme="majorHAnsi" w:cstheme="majorHAnsi"/>
          <w:b/>
          <w:color w:val="000000"/>
          <w:sz w:val="24"/>
          <w:szCs w:val="24"/>
          <w:lang w:eastAsia="en-US"/>
        </w:rPr>
        <w:t>DÉCIMA CUARTA:</w:t>
      </w:r>
      <w:r w:rsidRPr="00E84355">
        <w:rPr>
          <w:rFonts w:asciiTheme="majorHAnsi" w:hAnsiTheme="majorHAnsi" w:cstheme="majorHAnsi"/>
          <w:bCs/>
          <w:color w:val="000000"/>
          <w:sz w:val="24"/>
          <w:szCs w:val="24"/>
          <w:lang w:eastAsia="en-US"/>
        </w:rPr>
        <w:t xml:space="preserve"> Modificación y Terminación. Además de las causales previstas en la Ley 142 de 1994 y demás disposiciones complementarias sobre modificación y terminación del Negocio Jurídico, podrá modificarse cuando así lo convengan las partes, mediante iniciativa de una de ellas o de ambas, lo cual realizarán mediante un Acta de Modificación Bilateral, y podrá darse por </w:t>
      </w:r>
      <w:r w:rsidRPr="00E84355">
        <w:rPr>
          <w:rFonts w:asciiTheme="majorHAnsi" w:hAnsiTheme="majorHAnsi" w:cstheme="majorHAnsi"/>
          <w:bCs/>
          <w:color w:val="000000"/>
          <w:sz w:val="24"/>
          <w:szCs w:val="24"/>
          <w:lang w:eastAsia="en-US"/>
        </w:rPr>
        <w:lastRenderedPageBreak/>
        <w:t xml:space="preserve">terminado, cuando se presente una de las siguientes circunstancias: a) Ocurrencia de Fuerza Mayor o de Caso Fortuito que ponga a una de las partes, o a ambas, en imposibilidad de cumplir el objeto del Negocio Jurídico; b) Incumplimiento de las obligaciones de una de las partes, caso en el cual la parte responsable del incumplimiento se le aplicará la cláusula Décima Quinta de la presente Oferta Mercantil. c) El no pago por parte de CHEC S.A. E.S.P BIC del valor equivalente a 2 (dos) cobros consecutivos de energía eléctrica suministrada; d) Liquidación forzosa de una de las partes, o embargo de sus bienes en forma tal que ponga en riesgo la continuidad el Negocio Jurídico; e) En el evento de que una de las partes intervinientes ceda o transfiera a un tercero el Negocio jurídico total o parcialmente, sin la autorización previa, expresa y escrita de la contraparte. f) El retiro del agente del mercado en las condiciones establecidas en la resolución CREG 156 de 2011 y las que la adicionen, las modifiquen o las complementen g) la no constitución o renovación de las garantías según lo establecido en la Oferta Mercantil; </w:t>
      </w:r>
      <w:r w:rsidRPr="00E84355">
        <w:rPr>
          <w:rFonts w:asciiTheme="majorHAnsi" w:hAnsiTheme="majorHAnsi" w:cstheme="majorHAnsi"/>
          <w:b/>
          <w:color w:val="000000"/>
          <w:sz w:val="24"/>
          <w:szCs w:val="24"/>
          <w:lang w:eastAsia="en-US"/>
        </w:rPr>
        <w:t>PARÁGRAFO 1</w:t>
      </w:r>
      <w:r w:rsidRPr="00E84355">
        <w:rPr>
          <w:rFonts w:asciiTheme="majorHAnsi" w:hAnsiTheme="majorHAnsi" w:cstheme="majorHAnsi"/>
          <w:bCs/>
          <w:color w:val="000000"/>
          <w:sz w:val="24"/>
          <w:szCs w:val="24"/>
          <w:lang w:eastAsia="en-US"/>
        </w:rPr>
        <w:t xml:space="preserve">. Sustitución contractual: En caso de transformación empresarial de una de las partes, la entidad nueva que llegare a absorber su patrimonio o aquella en la cual continúen radicados los derechos, acciones, bienes y obligaciones patrimoniales vinculados al Negocio Jurídico, ocupará o continuará ocupando la posición en el negocio jurídico de la parte reestructurada, sin necesidad del consentimiento de la otra y sin que la suscripción del otrosí que dé cuenta del cambio se considere esencial para que se efectúe la sustitución contractual con plenos efectos entre las partes y ante terceros. </w:t>
      </w:r>
      <w:r w:rsidRPr="00E84355">
        <w:rPr>
          <w:rFonts w:asciiTheme="majorHAnsi" w:hAnsiTheme="majorHAnsi" w:cstheme="majorHAnsi"/>
          <w:b/>
          <w:color w:val="000000"/>
          <w:sz w:val="24"/>
          <w:szCs w:val="24"/>
          <w:lang w:eastAsia="en-US"/>
        </w:rPr>
        <w:t>PARÁGRAFO 2</w:t>
      </w:r>
      <w:r w:rsidRPr="00E84355">
        <w:rPr>
          <w:rFonts w:asciiTheme="majorHAnsi" w:hAnsiTheme="majorHAnsi" w:cstheme="majorHAnsi"/>
          <w:bCs/>
          <w:color w:val="000000"/>
          <w:sz w:val="24"/>
          <w:szCs w:val="24"/>
          <w:lang w:eastAsia="en-US"/>
        </w:rPr>
        <w:t xml:space="preserve">. No exención de las obligaciones del Negocio Jurídico: La terminación anticipada del Negocio Jurídico no exime a ninguna de las partes del cumplimiento de las obligaciones previamente contraídas en desarrollo de este. En el evento de ocurrencia de una de las causales de terminación anticipada, la parte afectada lo informará inmediatamente al ASIC para que éste deje de considerar el Negocio Jurídico en la comercialización del mercado mayorista. </w:t>
      </w:r>
      <w:r w:rsidRPr="00E84355">
        <w:rPr>
          <w:rFonts w:asciiTheme="majorHAnsi" w:hAnsiTheme="majorHAnsi" w:cstheme="majorHAnsi"/>
          <w:b/>
          <w:color w:val="000000"/>
          <w:sz w:val="24"/>
          <w:szCs w:val="24"/>
          <w:lang w:eastAsia="en-US"/>
        </w:rPr>
        <w:t>PARÁGRAFO 3</w:t>
      </w:r>
      <w:r w:rsidRPr="00E84355">
        <w:rPr>
          <w:rFonts w:asciiTheme="majorHAnsi" w:hAnsiTheme="majorHAnsi" w:cstheme="majorHAnsi"/>
          <w:bCs/>
          <w:color w:val="000000"/>
          <w:sz w:val="24"/>
          <w:szCs w:val="24"/>
          <w:lang w:eastAsia="en-US"/>
        </w:rPr>
        <w:t xml:space="preserve">. Revisión: 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 la jurisdicción competente. </w:t>
      </w:r>
      <w:r w:rsidRPr="00E84355">
        <w:rPr>
          <w:rFonts w:asciiTheme="majorHAnsi" w:hAnsiTheme="majorHAnsi" w:cstheme="majorHAnsi"/>
          <w:b/>
          <w:color w:val="000000"/>
          <w:sz w:val="24"/>
          <w:szCs w:val="24"/>
          <w:lang w:eastAsia="en-US"/>
        </w:rPr>
        <w:t>PARÁGRAFO 4</w:t>
      </w:r>
      <w:r w:rsidRPr="00E84355">
        <w:rPr>
          <w:rFonts w:asciiTheme="majorHAnsi" w:hAnsiTheme="majorHAnsi" w:cstheme="majorHAnsi"/>
          <w:bCs/>
          <w:color w:val="000000"/>
          <w:sz w:val="24"/>
          <w:szCs w:val="24"/>
          <w:lang w:eastAsia="en-US"/>
        </w:rPr>
        <w:t xml:space="preserve">: Terminación Unilateral del Negocio Jurídico, 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o en dos periodos de pago;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Cláusula Quinta </w:t>
      </w:r>
      <w:r w:rsidRPr="00E84355">
        <w:rPr>
          <w:rFonts w:asciiTheme="majorHAnsi" w:hAnsiTheme="majorHAnsi" w:cstheme="majorHAnsi"/>
          <w:bCs/>
          <w:color w:val="000000"/>
          <w:sz w:val="24"/>
          <w:szCs w:val="24"/>
          <w:lang w:eastAsia="en-US"/>
        </w:rPr>
        <w:lastRenderedPageBreak/>
        <w:t xml:space="preserve">Precio Monomio de Energía, para lo cual la parte afectada con el incumplimiento podrá informar al ASIC la terminación anormal del Negocio Jurídico según lo dispuesto en la resolución CREG 038 de 2010 o aquella que la modifique o sustituya. En el caso de que la parte incumplida no cancele dicha suma la otra parte podrá hacer efectiva la garantía que ampara el cumplimiento del Negocio Jurídico, si lo anterior no es posible acudirá a la vía judicial, para lo cual la Oferta Mercantil presta mérito ejecutivo. </w:t>
      </w:r>
      <w:r w:rsidRPr="00E84355">
        <w:rPr>
          <w:rFonts w:asciiTheme="majorHAnsi" w:hAnsiTheme="majorHAnsi" w:cstheme="majorHAnsi"/>
          <w:b/>
          <w:color w:val="000000"/>
          <w:sz w:val="24"/>
          <w:szCs w:val="24"/>
          <w:lang w:eastAsia="en-US"/>
        </w:rPr>
        <w:t>PARÁGRAFO 5</w:t>
      </w:r>
      <w:r w:rsidRPr="00E84355">
        <w:rPr>
          <w:rFonts w:asciiTheme="majorHAnsi" w:hAnsiTheme="majorHAnsi" w:cstheme="majorHAnsi"/>
          <w:bCs/>
          <w:color w:val="000000"/>
          <w:sz w:val="24"/>
          <w:szCs w:val="24"/>
          <w:lang w:eastAsia="en-US"/>
        </w:rPr>
        <w:t xml:space="preserve"> CROM: Las partes se comprometen a cumplir con lo establecido en la Resoluciones CREG 156 de 2012; CREG 134 de 2013 y las demás que las modifiquen, sustituyan y/o reemplacen y en caso de incumplimiento se ejecutará lo establecido en el literal b) de esta cláusula y se podrán hacer efectivas las garantías de cumplimiento del Negocio Jurídico. </w:t>
      </w:r>
      <w:r w:rsidRPr="00E84355">
        <w:rPr>
          <w:rFonts w:asciiTheme="majorHAnsi" w:hAnsiTheme="majorHAnsi" w:cstheme="majorHAnsi"/>
          <w:b/>
          <w:color w:val="000000"/>
          <w:sz w:val="24"/>
          <w:szCs w:val="24"/>
          <w:lang w:eastAsia="en-US"/>
        </w:rPr>
        <w:t>PARÁGRAFO 6</w:t>
      </w:r>
      <w:r w:rsidRPr="00E84355">
        <w:rPr>
          <w:rFonts w:asciiTheme="majorHAnsi" w:hAnsiTheme="majorHAnsi" w:cstheme="majorHAnsi"/>
          <w:bCs/>
          <w:color w:val="000000"/>
          <w:sz w:val="24"/>
          <w:szCs w:val="24"/>
          <w:lang w:eastAsia="en-US"/>
        </w:rPr>
        <w:t xml:space="preserve">: Causales especiales de terminación anticipada del Negocio Jurídico. 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E84355">
        <w:rPr>
          <w:rFonts w:asciiTheme="majorHAnsi" w:hAnsiTheme="majorHAnsi" w:cstheme="majorHAnsi"/>
          <w:bCs/>
          <w:color w:val="000000"/>
          <w:sz w:val="24"/>
          <w:szCs w:val="24"/>
          <w:lang w:eastAsia="en-US"/>
        </w:rPr>
        <w:t>reputacionalmente</w:t>
      </w:r>
      <w:proofErr w:type="spellEnd"/>
      <w:r w:rsidRPr="00E84355">
        <w:rPr>
          <w:rFonts w:asciiTheme="majorHAnsi" w:hAnsiTheme="majorHAnsi" w:cstheme="majorHAnsi"/>
          <w:bCs/>
          <w:color w:val="000000"/>
          <w:sz w:val="24"/>
          <w:szCs w:val="24"/>
          <w:lang w:eastAsia="en-US"/>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w:t>
      </w:r>
      <w:r w:rsidRPr="00E84355">
        <w:rPr>
          <w:rFonts w:asciiTheme="majorHAnsi" w:hAnsiTheme="majorHAnsi" w:cstheme="majorHAnsi"/>
          <w:bCs/>
          <w:color w:val="000000"/>
          <w:sz w:val="24"/>
          <w:szCs w:val="24"/>
          <w:lang w:eastAsia="en-US"/>
        </w:rPr>
        <w:lastRenderedPageBreak/>
        <w:t xml:space="preserve">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Negocio jurídico sea objeto de una medida de extinción de dominio y sobre el cual la Dirección Nacional de Estupefacientes o la entidad que haga sus veces no tenga el control o no le haya sido nombrado un depositario directo. i) Cuando en la ejecución del Negocio Jurídico, una de las PARTES sea sancionado por la autoridad competente por conductas violatorias de las normas sobre protección de la competencia que exponga a la otra PARTE a un riesgo reputacional o legal. j) Cuando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incumpla el Código de conducta para Proveedores y Proponentes de CHEC S.A. E.S.P BIC.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contrato, lo cual se comunicará inmediatamente y se procederá a la liquidación o al cierre de cuentas </w:t>
      </w:r>
      <w:proofErr w:type="gramStart"/>
      <w:r w:rsidRPr="00E84355">
        <w:rPr>
          <w:rFonts w:asciiTheme="majorHAnsi" w:hAnsiTheme="majorHAnsi" w:cstheme="majorHAnsi"/>
          <w:bCs/>
          <w:color w:val="000000"/>
          <w:sz w:val="24"/>
          <w:szCs w:val="24"/>
          <w:lang w:eastAsia="en-US"/>
        </w:rPr>
        <w:t>del mismo</w:t>
      </w:r>
      <w:proofErr w:type="gramEnd"/>
      <w:r w:rsidRPr="00E84355">
        <w:rPr>
          <w:rFonts w:asciiTheme="majorHAnsi" w:hAnsiTheme="majorHAnsi" w:cstheme="majorHAnsi"/>
          <w:bCs/>
          <w:color w:val="000000"/>
          <w:sz w:val="24"/>
          <w:szCs w:val="24"/>
          <w:lang w:eastAsia="en-US"/>
        </w:rPr>
        <w:t xml:space="preserve">, según corresponda, en el estado en que se encuentre, quedando obligada LA PARTE que incurrió en la causal a indemnizar los perjuicios causados a la otra PARTE. </w:t>
      </w:r>
      <w:r w:rsidRPr="00E84355">
        <w:rPr>
          <w:rFonts w:asciiTheme="majorHAnsi" w:hAnsiTheme="majorHAnsi" w:cstheme="majorHAnsi"/>
          <w:b/>
          <w:color w:val="000000"/>
          <w:sz w:val="24"/>
          <w:szCs w:val="24"/>
          <w:lang w:eastAsia="en-US"/>
        </w:rPr>
        <w:t>DÉCIMA CUARTA</w:t>
      </w:r>
      <w:r w:rsidRPr="00E84355">
        <w:rPr>
          <w:rFonts w:asciiTheme="majorHAnsi" w:hAnsiTheme="majorHAnsi" w:cstheme="majorHAnsi"/>
          <w:bCs/>
          <w:color w:val="000000"/>
          <w:sz w:val="24"/>
          <w:szCs w:val="24"/>
          <w:lang w:eastAsia="en-US"/>
        </w:rPr>
        <w:t xml:space="preserve">: Cesión de derechos económicos. Los derechos económicos del presente Negocio Jurídico podrán ser cedidos irrevocablemente a una fiducia de administración y fuente de pago definida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
          <w:color w:val="000000"/>
          <w:sz w:val="24"/>
          <w:szCs w:val="24"/>
          <w:lang w:eastAsia="en-US"/>
        </w:rPr>
        <w:t xml:space="preserve">. </w:t>
      </w:r>
      <w:r w:rsidRPr="00817AFF">
        <w:rPr>
          <w:rFonts w:asciiTheme="majorHAnsi" w:hAnsiTheme="majorHAnsi" w:cstheme="majorHAnsi"/>
          <w:b/>
          <w:color w:val="000000"/>
          <w:sz w:val="24"/>
          <w:szCs w:val="24"/>
          <w:lang w:eastAsia="en-US"/>
        </w:rPr>
        <w:t>DÉCIMA QUINTA:</w:t>
      </w:r>
      <w:r w:rsidRPr="00E84355">
        <w:rPr>
          <w:rFonts w:asciiTheme="majorHAnsi" w:hAnsiTheme="majorHAnsi" w:cstheme="majorHAnsi"/>
          <w:bCs/>
          <w:color w:val="000000"/>
          <w:sz w:val="24"/>
          <w:szCs w:val="24"/>
          <w:lang w:eastAsia="en-US"/>
        </w:rPr>
        <w:t xml:space="preserve"> Cláusula Penal. 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Invitación Pública de ofertas N°CRW359905 Quinta Precio Monomio de Energía, que corresponde a una tasación anticipada de los perjuicios derivados de dicho incumplimiento, para lo cual se aclara que esta suma será considerada como pago parcial pero no definitivo de los perjuicios causados a 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CHEC S.A. E.S.P BIC, el valor de la cláusula penal se tomará directamente de cualquier suma que se adeude al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de ser posible, o se cobrará directamente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o se hará efectiva la garantía de cumplimiento del Negocio Jurídico; si lo anterior no es posible, se cobrará por la vía judicial. </w:t>
      </w:r>
      <w:r w:rsidRPr="00E84355">
        <w:rPr>
          <w:rFonts w:asciiTheme="majorHAnsi" w:hAnsiTheme="majorHAnsi" w:cstheme="majorHAnsi"/>
          <w:b/>
          <w:color w:val="000000"/>
          <w:sz w:val="24"/>
          <w:szCs w:val="24"/>
          <w:lang w:eastAsia="en-US"/>
        </w:rPr>
        <w:t>DÉCIMA SEXTA</w:t>
      </w:r>
      <w:r w:rsidRPr="00E84355">
        <w:rPr>
          <w:rFonts w:asciiTheme="majorHAnsi" w:hAnsiTheme="majorHAnsi" w:cstheme="majorHAnsi"/>
          <w:bCs/>
          <w:color w:val="000000"/>
          <w:sz w:val="24"/>
          <w:szCs w:val="24"/>
          <w:lang w:eastAsia="en-US"/>
        </w:rPr>
        <w:t xml:space="preserve">: Cesión del Negocio Jurídico. En caso de transformación de cualquiera de las partes se tendrá como titular a la nueva empresa o al ente absorbente de los derechos y obligaciones de él emanado, sin necesidad </w:t>
      </w:r>
      <w:r w:rsidRPr="00E84355">
        <w:rPr>
          <w:rFonts w:asciiTheme="majorHAnsi" w:hAnsiTheme="majorHAnsi" w:cstheme="majorHAnsi"/>
          <w:bCs/>
          <w:color w:val="000000"/>
          <w:sz w:val="24"/>
          <w:szCs w:val="24"/>
          <w:lang w:eastAsia="en-US"/>
        </w:rPr>
        <w:lastRenderedPageBreak/>
        <w:t xml:space="preserve">de formalizar la cesión. Para los demás casos de cesión se requerirá la autorización previa, escrita y expresa de la otra parte. </w:t>
      </w:r>
      <w:r w:rsidRPr="00E84355">
        <w:rPr>
          <w:rFonts w:asciiTheme="majorHAnsi" w:hAnsiTheme="majorHAnsi" w:cstheme="majorHAnsi"/>
          <w:b/>
          <w:color w:val="000000"/>
          <w:sz w:val="24"/>
          <w:szCs w:val="24"/>
          <w:lang w:eastAsia="en-US"/>
        </w:rPr>
        <w:t>PARÁGRAFO 1</w:t>
      </w:r>
      <w:r w:rsidRPr="00E84355">
        <w:rPr>
          <w:rFonts w:asciiTheme="majorHAnsi" w:hAnsiTheme="majorHAnsi" w:cstheme="majorHAnsi"/>
          <w:bCs/>
          <w:color w:val="000000"/>
          <w:sz w:val="24"/>
          <w:szCs w:val="24"/>
          <w:lang w:eastAsia="en-US"/>
        </w:rPr>
        <w:t xml:space="preserve">: En el evento de presentarse fusión, escisión, transformación o cualquiera otra reorganización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bookmarkStart w:id="3" w:name="_Hlk210655378"/>
      <w:r w:rsidRPr="00E84355">
        <w:rPr>
          <w:rFonts w:asciiTheme="majorHAnsi" w:hAnsiTheme="majorHAnsi" w:cstheme="majorHAnsi"/>
          <w:bCs/>
          <w:color w:val="000000"/>
          <w:sz w:val="24"/>
          <w:szCs w:val="24"/>
          <w:lang w:eastAsia="en-US"/>
        </w:rPr>
        <w:t xml:space="preserve">CHEC S.A. E.S.P BIC </w:t>
      </w:r>
      <w:bookmarkEnd w:id="3"/>
      <w:r w:rsidRPr="00E84355">
        <w:rPr>
          <w:rFonts w:asciiTheme="majorHAnsi" w:hAnsiTheme="majorHAnsi" w:cstheme="majorHAnsi"/>
          <w:bCs/>
          <w:color w:val="000000"/>
          <w:sz w:val="24"/>
          <w:szCs w:val="24"/>
          <w:lang w:eastAsia="en-US"/>
        </w:rPr>
        <w:t xml:space="preserve">acepta anticipadamente que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ceda todos sus derechos y obligaciones derivadas de la presente relación jurídica surgida de la oferta, a la persona que la sustituya, siempre y cuando el cesionario sea de las mismas calidades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r w:rsidRPr="00E84355">
        <w:rPr>
          <w:rFonts w:asciiTheme="majorHAnsi" w:hAnsiTheme="majorHAnsi" w:cstheme="majorHAnsi"/>
          <w:b/>
          <w:color w:val="000000"/>
          <w:sz w:val="24"/>
          <w:szCs w:val="24"/>
          <w:lang w:eastAsia="en-US"/>
        </w:rPr>
        <w:t>PARÁGRAFO 2:</w:t>
      </w:r>
      <w:r w:rsidRPr="00E84355">
        <w:rPr>
          <w:rFonts w:asciiTheme="majorHAnsi" w:hAnsiTheme="majorHAnsi" w:cstheme="majorHAnsi"/>
          <w:bCs/>
          <w:color w:val="000000"/>
          <w:sz w:val="24"/>
          <w:szCs w:val="24"/>
          <w:lang w:eastAsia="en-US"/>
        </w:rPr>
        <w:t xml:space="preserve"> Será requisito de aceptación de la cesión que el cesionario tenga calidades tales que ofrezca suficiente garantía o respaldo del cumplimiento de las obligaciones a cargo del cedente</w:t>
      </w:r>
      <w:r w:rsidRPr="00E84355">
        <w:rPr>
          <w:rFonts w:asciiTheme="majorHAnsi" w:hAnsiTheme="majorHAnsi" w:cstheme="majorHAnsi"/>
          <w:b/>
          <w:color w:val="000000"/>
          <w:sz w:val="24"/>
          <w:szCs w:val="24"/>
          <w:lang w:eastAsia="en-US"/>
        </w:rPr>
        <w:t>. PARÁGRAFO 3:</w:t>
      </w:r>
      <w:r w:rsidRPr="00E84355">
        <w:rPr>
          <w:rFonts w:asciiTheme="majorHAnsi" w:hAnsiTheme="majorHAnsi" w:cstheme="majorHAnsi"/>
          <w:bCs/>
          <w:color w:val="000000"/>
          <w:sz w:val="24"/>
          <w:szCs w:val="24"/>
          <w:lang w:eastAsia="en-US"/>
        </w:rPr>
        <w:t xml:space="preserve"> Los derechos económicos del presente contrato podrán ser cedidos irrevocablemente a una fiducia de administración y fuente de pago definida por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Liquidación del Negocio Jurídico. </w:t>
      </w:r>
      <w:r w:rsidRPr="00E84355">
        <w:rPr>
          <w:rFonts w:asciiTheme="majorHAnsi" w:hAnsiTheme="majorHAnsi" w:cstheme="majorHAnsi"/>
          <w:b/>
          <w:color w:val="000000"/>
          <w:sz w:val="24"/>
          <w:szCs w:val="24"/>
          <w:lang w:eastAsia="en-US"/>
        </w:rPr>
        <w:t>DÉCIMA SÉPTIMA</w:t>
      </w:r>
      <w:r w:rsidRPr="00E84355">
        <w:rPr>
          <w:rFonts w:asciiTheme="majorHAnsi" w:hAnsiTheme="majorHAnsi" w:cstheme="majorHAnsi"/>
          <w:bCs/>
          <w:color w:val="000000"/>
          <w:sz w:val="24"/>
          <w:szCs w:val="24"/>
          <w:lang w:eastAsia="en-US"/>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w:t>
      </w:r>
      <w:proofErr w:type="gramStart"/>
      <w:r w:rsidRPr="00E84355">
        <w:rPr>
          <w:rFonts w:asciiTheme="majorHAnsi" w:hAnsiTheme="majorHAnsi" w:cstheme="majorHAnsi"/>
          <w:bCs/>
          <w:color w:val="000000"/>
          <w:sz w:val="24"/>
          <w:szCs w:val="24"/>
          <w:lang w:eastAsia="en-US"/>
        </w:rPr>
        <w:t>del mismo</w:t>
      </w:r>
      <w:proofErr w:type="gramEnd"/>
      <w:r w:rsidRPr="00E84355">
        <w:rPr>
          <w:rFonts w:asciiTheme="majorHAnsi" w:hAnsiTheme="majorHAnsi" w:cstheme="majorHAnsi"/>
          <w:bCs/>
          <w:color w:val="000000"/>
          <w:sz w:val="24"/>
          <w:szCs w:val="24"/>
          <w:lang w:eastAsia="en-US"/>
        </w:rPr>
        <w:t xml:space="preserve">, las partes se obligan a realizar los ajustes y pagos que fuesen del caso, de acuerdo con lo establecido en el Parágrafo 4 de la Cláusula Octava. </w:t>
      </w:r>
      <w:r w:rsidRPr="00E84355">
        <w:rPr>
          <w:rFonts w:asciiTheme="majorHAnsi" w:hAnsiTheme="majorHAnsi" w:cstheme="majorHAnsi"/>
          <w:b/>
          <w:color w:val="000000"/>
          <w:sz w:val="24"/>
          <w:szCs w:val="24"/>
          <w:lang w:eastAsia="en-US"/>
        </w:rPr>
        <w:t>DÉCIMA OCTAVA:</w:t>
      </w:r>
      <w:r w:rsidRPr="00E84355">
        <w:rPr>
          <w:rFonts w:asciiTheme="majorHAnsi" w:hAnsiTheme="majorHAnsi" w:cstheme="majorHAnsi"/>
          <w:bCs/>
          <w:color w:val="000000"/>
          <w:sz w:val="24"/>
          <w:szCs w:val="24"/>
          <w:lang w:eastAsia="en-US"/>
        </w:rPr>
        <w:t xml:space="preserve"> Renuncia a Requerimiento. Para el cobro de cualquier suma de dinero que se adeude en virtud del Negocio Jurídico, no será necesario constituir en mora o requerir el pago de esta, derechos a los cuales renuncian las partes. </w:t>
      </w:r>
      <w:r w:rsidRPr="00E84355">
        <w:rPr>
          <w:rFonts w:asciiTheme="majorHAnsi" w:hAnsiTheme="majorHAnsi" w:cstheme="majorHAnsi"/>
          <w:b/>
          <w:color w:val="000000"/>
          <w:sz w:val="24"/>
          <w:szCs w:val="24"/>
          <w:lang w:eastAsia="en-US"/>
        </w:rPr>
        <w:t>DÉCIMA NOVENA</w:t>
      </w:r>
      <w:r w:rsidRPr="00E84355">
        <w:rPr>
          <w:rFonts w:asciiTheme="majorHAnsi" w:hAnsiTheme="majorHAnsi" w:cstheme="majorHAnsi"/>
          <w:bCs/>
          <w:color w:val="000000"/>
          <w:sz w:val="24"/>
          <w:szCs w:val="24"/>
          <w:lang w:eastAsia="en-US"/>
        </w:rPr>
        <w:t>: Ley Aplicable y Controversia. Para todas las diferencias que surjan entre las partes relacionadas con la ejecución del Negocio Jurídico,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podrán acudir al medio judicial pertinente en Colombia.</w:t>
      </w:r>
      <w:r w:rsidRPr="00E84355">
        <w:t xml:space="preserve"> </w:t>
      </w:r>
      <w:r w:rsidRPr="00E84355">
        <w:rPr>
          <w:rFonts w:asciiTheme="majorHAnsi" w:hAnsiTheme="majorHAnsi" w:cstheme="majorHAnsi"/>
          <w:b/>
          <w:color w:val="000000"/>
          <w:sz w:val="24"/>
          <w:szCs w:val="24"/>
          <w:lang w:eastAsia="en-US"/>
        </w:rPr>
        <w:t>VIGÉSIMA:</w:t>
      </w:r>
      <w:r w:rsidRPr="00E84355">
        <w:rPr>
          <w:rFonts w:asciiTheme="majorHAnsi" w:hAnsiTheme="majorHAnsi" w:cstheme="majorHAnsi"/>
          <w:bCs/>
          <w:color w:val="000000"/>
          <w:sz w:val="24"/>
          <w:szCs w:val="24"/>
          <w:lang w:eastAsia="en-US"/>
        </w:rPr>
        <w:t xml:space="preserve"> Inhabilidades e Incompatibilidades. Las partes declaran que no se encuentran incursas para la celebración y ejecución del Negocio Jurídico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bookmarkStart w:id="4" w:name="_Hlk210655240"/>
      <w:r w:rsidRPr="00E84355">
        <w:rPr>
          <w:rFonts w:asciiTheme="majorHAnsi" w:hAnsiTheme="majorHAnsi" w:cstheme="majorHAnsi"/>
          <w:b/>
          <w:color w:val="000000"/>
          <w:sz w:val="24"/>
          <w:szCs w:val="24"/>
          <w:lang w:eastAsia="en-US"/>
        </w:rPr>
        <w:t>VIGÉSIMA PRIMERA</w:t>
      </w:r>
      <w:bookmarkEnd w:id="4"/>
      <w:r w:rsidRPr="00E84355">
        <w:rPr>
          <w:rFonts w:asciiTheme="majorHAnsi" w:hAnsiTheme="majorHAnsi" w:cstheme="majorHAnsi"/>
          <w:b/>
          <w:color w:val="000000"/>
          <w:sz w:val="24"/>
          <w:szCs w:val="24"/>
          <w:lang w:eastAsia="en-US"/>
        </w:rPr>
        <w:t>:</w:t>
      </w:r>
      <w:r w:rsidRPr="00E84355">
        <w:rPr>
          <w:rFonts w:asciiTheme="majorHAnsi" w:hAnsiTheme="majorHAnsi" w:cstheme="majorHAnsi"/>
          <w:bCs/>
          <w:color w:val="000000"/>
          <w:sz w:val="24"/>
          <w:szCs w:val="24"/>
          <w:lang w:eastAsia="en-US"/>
        </w:rPr>
        <w:t xml:space="preserve">  Régimen Jurídico. El Negocio Jurídico se regirá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r w:rsidRPr="00E84355">
        <w:rPr>
          <w:rFonts w:asciiTheme="majorHAnsi" w:hAnsiTheme="majorHAnsi" w:cstheme="majorHAnsi"/>
          <w:b/>
          <w:color w:val="000000"/>
          <w:sz w:val="24"/>
          <w:szCs w:val="24"/>
          <w:lang w:eastAsia="en-US"/>
        </w:rPr>
        <w:t>VIGÉSIMA SEGUNDA:</w:t>
      </w:r>
      <w:r w:rsidRPr="00E84355">
        <w:rPr>
          <w:rFonts w:asciiTheme="majorHAnsi" w:hAnsiTheme="majorHAnsi" w:cstheme="majorHAnsi"/>
          <w:bCs/>
          <w:color w:val="000000"/>
          <w:sz w:val="24"/>
          <w:szCs w:val="24"/>
          <w:lang w:eastAsia="en-US"/>
        </w:rPr>
        <w:t xml:space="preserve"> Domicilio, Comunicaciones y Notificaciones. Se establece como domicilio del Negocio Jurídico el municipio de Manizales, Todas las comunicaciones y notificaciones a que </w:t>
      </w:r>
      <w:r w:rsidRPr="00E84355">
        <w:rPr>
          <w:rFonts w:asciiTheme="majorHAnsi" w:hAnsiTheme="majorHAnsi" w:cstheme="majorHAnsi"/>
          <w:bCs/>
          <w:color w:val="000000"/>
          <w:sz w:val="24"/>
          <w:szCs w:val="24"/>
          <w:lang w:eastAsia="en-US"/>
        </w:rPr>
        <w:lastRenderedPageBreak/>
        <w:t xml:space="preserve">haya lugar </w:t>
      </w:r>
      <w:proofErr w:type="gramStart"/>
      <w:r w:rsidRPr="00E84355">
        <w:rPr>
          <w:rFonts w:asciiTheme="majorHAnsi" w:hAnsiTheme="majorHAnsi" w:cstheme="majorHAnsi"/>
          <w:bCs/>
          <w:color w:val="000000"/>
          <w:sz w:val="24"/>
          <w:szCs w:val="24"/>
          <w:lang w:eastAsia="en-US"/>
        </w:rPr>
        <w:t>en razón de</w:t>
      </w:r>
      <w:proofErr w:type="gramEnd"/>
      <w:r w:rsidRPr="00E84355">
        <w:rPr>
          <w:rFonts w:asciiTheme="majorHAnsi" w:hAnsiTheme="majorHAnsi" w:cstheme="majorHAnsi"/>
          <w:bCs/>
          <w:color w:val="000000"/>
          <w:sz w:val="24"/>
          <w:szCs w:val="24"/>
          <w:lang w:eastAsia="en-US"/>
        </w:rPr>
        <w:t xml:space="preserve"> la presente Oferta Mercantil serán remitidas directamente a los representantes legales de las partes o a quienes ellos designen. </w:t>
      </w:r>
      <w:r w:rsidRPr="00E84355">
        <w:rPr>
          <w:rFonts w:asciiTheme="majorHAnsi" w:hAnsiTheme="majorHAnsi" w:cstheme="majorHAnsi"/>
          <w:b/>
          <w:color w:val="000000"/>
          <w:sz w:val="24"/>
          <w:szCs w:val="24"/>
          <w:lang w:eastAsia="en-US"/>
        </w:rPr>
        <w:t>VIGÉSIMA TERCERA</w:t>
      </w:r>
      <w:r w:rsidRPr="00E84355">
        <w:rPr>
          <w:rFonts w:asciiTheme="majorHAnsi" w:hAnsiTheme="majorHAnsi" w:cstheme="majorHAnsi"/>
          <w:bCs/>
          <w:color w:val="000000"/>
          <w:sz w:val="24"/>
          <w:szCs w:val="24"/>
          <w:lang w:eastAsia="en-US"/>
        </w:rPr>
        <w:t xml:space="preserve">: Impuestos, Gravámenes o Deducciones. Cuando con posterioridad a la fecha de entrega de las ofertas el IVA o los impuestos al consumo tengan alguna modificación por aumento, disminución o eliminación, así como la creación de nuevos impuestos al consumo, ello será tenido en cuenta por CHEC S.A. E.S.P BIC para hacer los ajustes que sean del caso y reconocerle a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los mayores costos o hacerle las deducciones. CHEC S.A. E.S.P BIC deducirá todos los impuestos y retenciones a que haya lugar en el momento de hacer el pago, de acuerdo con las disposiciones legales y vigentes, sin dar lugar a reclamaciones por parte de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r w:rsidRPr="00E84355">
        <w:rPr>
          <w:rFonts w:asciiTheme="majorHAnsi" w:hAnsiTheme="majorHAnsi" w:cstheme="majorHAnsi"/>
          <w:b/>
          <w:color w:val="000000"/>
          <w:sz w:val="24"/>
          <w:szCs w:val="24"/>
          <w:lang w:eastAsia="en-US"/>
        </w:rPr>
        <w:t>VIGÉSIMA CUARTA:</w:t>
      </w:r>
      <w:r w:rsidRPr="00E84355">
        <w:rPr>
          <w:rFonts w:asciiTheme="majorHAnsi" w:hAnsiTheme="majorHAnsi" w:cstheme="majorHAnsi"/>
          <w:bCs/>
          <w:color w:val="000000"/>
          <w:sz w:val="24"/>
          <w:szCs w:val="24"/>
          <w:lang w:eastAsia="en-US"/>
        </w:rPr>
        <w:t xml:space="preserve"> Gastos Legales.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deberá pagar todos los gastos legales que la normatividad haya establecido a su cargo, para la realización del suministro aceptado y dar cumplimiento a las leyes, ordenanzas, acuerdos, reglamentos y resoluciones aplicables que existan sobre el particular o que se decreten durante el desarrollo del Negocio Jurídico. </w:t>
      </w:r>
      <w:r w:rsidRPr="00E84355">
        <w:rPr>
          <w:rFonts w:asciiTheme="majorHAnsi" w:hAnsiTheme="majorHAnsi" w:cstheme="majorHAnsi"/>
          <w:b/>
          <w:color w:val="000000"/>
          <w:sz w:val="24"/>
          <w:szCs w:val="24"/>
          <w:lang w:eastAsia="en-US"/>
        </w:rPr>
        <w:t>VIGÉSIMA QUINTA:</w:t>
      </w:r>
      <w:r w:rsidRPr="00E84355">
        <w:rPr>
          <w:rFonts w:asciiTheme="majorHAnsi" w:hAnsiTheme="majorHAnsi" w:cstheme="majorHAnsi"/>
          <w:bCs/>
          <w:color w:val="000000"/>
          <w:sz w:val="24"/>
          <w:szCs w:val="24"/>
          <w:lang w:eastAsia="en-US"/>
        </w:rPr>
        <w:t xml:space="preserve"> Perfeccionamiento y Ejecución de la Oferta Mercantil. De acuerdo con el Código de Comercio, una vez entregada la orden de compra, surgen las obligaciones de la relación jurídica para las partes, y queda claro que el registro operará como requisito para su control, inscripción y ejecución ante el ASIC. Y solo habrá lugar a ello si 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ha cumplido con todas las obligaciones propias de esta etapa. </w:t>
      </w:r>
      <w:r w:rsidRPr="00E84355">
        <w:rPr>
          <w:rFonts w:asciiTheme="majorHAnsi" w:hAnsiTheme="majorHAnsi" w:cstheme="majorHAnsi"/>
          <w:b/>
          <w:color w:val="000000"/>
          <w:sz w:val="24"/>
          <w:szCs w:val="24"/>
          <w:lang w:eastAsia="en-US"/>
        </w:rPr>
        <w:t>VIGÉSIMA SEXTA</w:t>
      </w:r>
      <w:r w:rsidRPr="00E84355">
        <w:rPr>
          <w:rFonts w:asciiTheme="majorHAnsi" w:hAnsiTheme="majorHAnsi" w:cstheme="majorHAnsi"/>
          <w:bCs/>
          <w:color w:val="000000"/>
          <w:sz w:val="24"/>
          <w:szCs w:val="24"/>
          <w:lang w:eastAsia="en-US"/>
        </w:rPr>
        <w:t>: Documentos de la Relación Jurídica surgida de la Oferta. Hacen parte del presente Negocio Jurídico, entendiéndose que todos son complementarios, y que cualquier estipulación que aparezca en uno de ellos regirá para todos: El Pliego de Condiciones y sus Adendas, la</w:t>
      </w:r>
      <w:r w:rsidR="00ED28F2" w:rsidRPr="00E84355">
        <w:rPr>
          <w:rFonts w:asciiTheme="majorHAnsi" w:hAnsiTheme="majorHAnsi" w:cstheme="majorHAnsi"/>
          <w:bCs/>
          <w:color w:val="000000"/>
          <w:sz w:val="24"/>
          <w:szCs w:val="24"/>
          <w:lang w:eastAsia="en-US"/>
        </w:rPr>
        <w:t xml:space="preserve"> minuta de la </w:t>
      </w:r>
      <w:r w:rsidRPr="00E84355">
        <w:rPr>
          <w:rFonts w:asciiTheme="majorHAnsi" w:hAnsiTheme="majorHAnsi" w:cstheme="majorHAnsi"/>
          <w:bCs/>
          <w:color w:val="000000"/>
          <w:sz w:val="24"/>
          <w:szCs w:val="24"/>
          <w:lang w:eastAsia="en-US"/>
        </w:rPr>
        <w:t xml:space="preserve"> oferta</w:t>
      </w:r>
      <w:r w:rsidR="00ED28F2" w:rsidRPr="00E84355">
        <w:rPr>
          <w:rFonts w:asciiTheme="majorHAnsi" w:hAnsiTheme="majorHAnsi" w:cstheme="majorHAnsi"/>
          <w:bCs/>
          <w:color w:val="000000"/>
          <w:sz w:val="24"/>
          <w:szCs w:val="24"/>
          <w:lang w:eastAsia="en-US"/>
        </w:rPr>
        <w:t xml:space="preserve"> mercantil con los anexos de cantidades y precios</w:t>
      </w:r>
      <w:r w:rsidRPr="00E84355">
        <w:rPr>
          <w:rFonts w:asciiTheme="majorHAnsi" w:hAnsiTheme="majorHAnsi" w:cstheme="majorHAnsi"/>
          <w:bCs/>
          <w:color w:val="000000"/>
          <w:sz w:val="24"/>
          <w:szCs w:val="24"/>
          <w:lang w:eastAsia="en-US"/>
        </w:rPr>
        <w:t xml:space="preserve">, las actas de modificaciones bilaterales que sean acordadas por escrito entre las partes en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w:t>
      </w:r>
      <w:r w:rsidR="00ED28F2" w:rsidRPr="00E84355">
        <w:rPr>
          <w:rFonts w:asciiTheme="majorHAnsi" w:hAnsiTheme="majorHAnsi" w:cstheme="majorHAnsi"/>
          <w:bCs/>
          <w:color w:val="000000"/>
          <w:sz w:val="24"/>
          <w:szCs w:val="24"/>
          <w:lang w:eastAsia="en-US"/>
        </w:rPr>
        <w:t xml:space="preserve">la minuta </w:t>
      </w:r>
      <w:r w:rsidRPr="00E84355">
        <w:rPr>
          <w:rFonts w:asciiTheme="majorHAnsi" w:hAnsiTheme="majorHAnsi" w:cstheme="majorHAnsi"/>
          <w:bCs/>
          <w:color w:val="000000"/>
          <w:sz w:val="24"/>
          <w:szCs w:val="24"/>
          <w:lang w:eastAsia="en-US"/>
        </w:rPr>
        <w:t xml:space="preserve">de la Oferta Mercantil, Orden de Compra y sus modificaciones, el Pliego de Condiciones y sus aclaraciones. </w:t>
      </w:r>
      <w:r w:rsidRPr="00E84355">
        <w:rPr>
          <w:rFonts w:asciiTheme="majorHAnsi" w:hAnsiTheme="majorHAnsi" w:cstheme="majorHAnsi"/>
          <w:b/>
          <w:color w:val="000000"/>
          <w:sz w:val="24"/>
          <w:szCs w:val="24"/>
          <w:lang w:eastAsia="en-US"/>
        </w:rPr>
        <w:t>VIGÉSIMA SEPTIMA</w:t>
      </w:r>
      <w:r w:rsidRPr="00E84355">
        <w:rPr>
          <w:rFonts w:asciiTheme="majorHAnsi" w:hAnsiTheme="majorHAnsi" w:cstheme="majorHAnsi"/>
          <w:bCs/>
          <w:color w:val="000000"/>
          <w:sz w:val="24"/>
          <w:szCs w:val="24"/>
          <w:lang w:eastAsia="en-US"/>
        </w:rPr>
        <w:t xml:space="preserve">: Cumplimiento de normatividad anticorrupción. 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ni en ninguna de las listas vinculantes para Colombia. Los instrumentos y mecanismos con los que cuentan LAS PARTES serán honrados y cumplidos por la CONTRAPARTE. </w:t>
      </w:r>
      <w:r w:rsidRPr="00E84355">
        <w:rPr>
          <w:rFonts w:asciiTheme="majorHAnsi" w:hAnsiTheme="majorHAnsi" w:cstheme="majorHAnsi"/>
          <w:b/>
          <w:color w:val="000000"/>
          <w:sz w:val="24"/>
          <w:szCs w:val="24"/>
          <w:lang w:eastAsia="en-US"/>
        </w:rPr>
        <w:t>PARÁGRAFO</w:t>
      </w:r>
      <w:r w:rsidR="005321C0" w:rsidRPr="00E84355">
        <w:rPr>
          <w:rFonts w:asciiTheme="majorHAnsi" w:hAnsiTheme="majorHAnsi" w:cstheme="majorHAnsi"/>
          <w:b/>
          <w:color w:val="000000"/>
          <w:sz w:val="24"/>
          <w:szCs w:val="24"/>
          <w:lang w:eastAsia="en-US"/>
        </w:rPr>
        <w:t xml:space="preserve"> 1</w:t>
      </w:r>
      <w:r w:rsidRPr="00E84355">
        <w:rPr>
          <w:rFonts w:asciiTheme="majorHAnsi" w:hAnsiTheme="majorHAnsi" w:cstheme="majorHAnsi"/>
          <w:b/>
          <w:color w:val="000000"/>
          <w:sz w:val="24"/>
          <w:szCs w:val="24"/>
          <w:lang w:eastAsia="en-US"/>
        </w:rPr>
        <w:t>:</w:t>
      </w:r>
      <w:r w:rsidRPr="00E84355">
        <w:rPr>
          <w:rFonts w:asciiTheme="majorHAnsi" w:hAnsiTheme="majorHAnsi" w:cstheme="majorHAnsi"/>
          <w:bCs/>
          <w:color w:val="000000"/>
          <w:sz w:val="24"/>
          <w:szCs w:val="24"/>
          <w:lang w:eastAsia="en-US"/>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w:t>
      </w:r>
      <w:r w:rsidRPr="00E84355">
        <w:rPr>
          <w:rFonts w:asciiTheme="majorHAnsi" w:hAnsiTheme="majorHAnsi" w:cstheme="majorHAnsi"/>
          <w:bCs/>
          <w:color w:val="000000"/>
          <w:sz w:val="24"/>
          <w:szCs w:val="24"/>
          <w:lang w:eastAsia="en-US"/>
        </w:rPr>
        <w:lastRenderedPageBreak/>
        <w:t>especialmente las leyes: (i) Ley estadounidense de Prácticas Corruptas en el extranjero (FCPA por su nombre en inglés), (</w:t>
      </w:r>
      <w:proofErr w:type="spellStart"/>
      <w:r w:rsidRPr="00E84355">
        <w:rPr>
          <w:rFonts w:asciiTheme="majorHAnsi" w:hAnsiTheme="majorHAnsi" w:cstheme="majorHAnsi"/>
          <w:bCs/>
          <w:color w:val="000000"/>
          <w:sz w:val="24"/>
          <w:szCs w:val="24"/>
          <w:lang w:eastAsia="en-US"/>
        </w:rPr>
        <w:t>ii</w:t>
      </w:r>
      <w:proofErr w:type="spellEnd"/>
      <w:r w:rsidRPr="00E84355">
        <w:rPr>
          <w:rFonts w:asciiTheme="majorHAnsi" w:hAnsiTheme="majorHAnsi" w:cstheme="majorHAnsi"/>
          <w:bCs/>
          <w:color w:val="000000"/>
          <w:sz w:val="24"/>
          <w:szCs w:val="24"/>
          <w:lang w:eastAsia="en-US"/>
        </w:rPr>
        <w:t>) Ley Canadiense de Corrupción de Servidores Públicos Extranjeros (CFPOA por su nombre en inglés), y (</w:t>
      </w:r>
      <w:proofErr w:type="spellStart"/>
      <w:r w:rsidRPr="00E84355">
        <w:rPr>
          <w:rFonts w:asciiTheme="majorHAnsi" w:hAnsiTheme="majorHAnsi" w:cstheme="majorHAnsi"/>
          <w:bCs/>
          <w:color w:val="000000"/>
          <w:sz w:val="24"/>
          <w:szCs w:val="24"/>
          <w:lang w:eastAsia="en-US"/>
        </w:rPr>
        <w:t>iii</w:t>
      </w:r>
      <w:proofErr w:type="spellEnd"/>
      <w:r w:rsidRPr="00E84355">
        <w:rPr>
          <w:rFonts w:asciiTheme="majorHAnsi" w:hAnsiTheme="majorHAnsi" w:cstheme="majorHAnsi"/>
          <w:bCs/>
          <w:color w:val="000000"/>
          <w:sz w:val="24"/>
          <w:szCs w:val="24"/>
          <w:lang w:eastAsia="en-US"/>
        </w:rPr>
        <w:t xml:space="preserve">) Ley británica Anti Soborno (UKBA por su nombre en inglés), consideradas como buenas prácticas a las cuales </w:t>
      </w:r>
      <w:bookmarkStart w:id="5" w:name="_Hlk210655735"/>
      <w:r w:rsidRPr="00E84355">
        <w:rPr>
          <w:rFonts w:asciiTheme="majorHAnsi" w:hAnsiTheme="majorHAnsi" w:cstheme="majorHAnsi"/>
          <w:bCs/>
          <w:color w:val="000000"/>
          <w:sz w:val="24"/>
          <w:szCs w:val="24"/>
          <w:lang w:eastAsia="en-US"/>
        </w:rPr>
        <w:t xml:space="preserve">CHEC S.A. E.S.P BIC </w:t>
      </w:r>
      <w:bookmarkEnd w:id="5"/>
      <w:r w:rsidRPr="00E84355">
        <w:rPr>
          <w:rFonts w:asciiTheme="majorHAnsi" w:hAnsiTheme="majorHAnsi" w:cstheme="majorHAnsi"/>
          <w:bCs/>
          <w:color w:val="000000"/>
          <w:sz w:val="24"/>
          <w:szCs w:val="24"/>
          <w:lang w:eastAsia="en-US"/>
        </w:rPr>
        <w:t xml:space="preserve">no está obligada; y en especial lo establecido en las herramientas de prevención de fraude, corrupción y soborno que tiene CHEC S.A. E.S.P BIC,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6" w:history="1">
        <w:r w:rsidRPr="00E84355">
          <w:rPr>
            <w:rStyle w:val="Hipervnculo"/>
            <w:rFonts w:cstheme="majorHAnsi"/>
            <w:bCs/>
            <w:sz w:val="24"/>
            <w:szCs w:val="24"/>
            <w:lang w:eastAsia="en-US"/>
          </w:rPr>
          <w:t>https://www.CHEC.com.co/Home/Transparencia</w:t>
        </w:r>
      </w:hyperlink>
      <w:r w:rsidRPr="00E84355">
        <w:rPr>
          <w:rFonts w:asciiTheme="majorHAnsi" w:hAnsiTheme="majorHAnsi" w:cstheme="majorHAnsi"/>
          <w:bCs/>
          <w:color w:val="000000"/>
          <w:sz w:val="24"/>
          <w:szCs w:val="24"/>
          <w:lang w:eastAsia="en-US"/>
        </w:rPr>
        <w:t xml:space="preserve"> .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005321C0" w:rsidRPr="00E84355">
        <w:rPr>
          <w:rFonts w:asciiTheme="majorHAnsi" w:hAnsiTheme="majorHAnsi" w:cstheme="majorHAnsi"/>
          <w:b/>
          <w:color w:val="000000"/>
          <w:sz w:val="24"/>
          <w:szCs w:val="24"/>
          <w:lang w:eastAsia="en-US"/>
        </w:rPr>
        <w:t>PARAGRAFO 2:</w:t>
      </w:r>
      <w:r w:rsidR="005321C0" w:rsidRPr="00E84355">
        <w:rPr>
          <w:rFonts w:asciiTheme="majorHAnsi" w:hAnsiTheme="majorHAnsi" w:cstheme="majorHAnsi"/>
          <w:bCs/>
          <w:color w:val="000000"/>
          <w:sz w:val="24"/>
          <w:szCs w:val="24"/>
          <w:lang w:eastAsia="en-US"/>
        </w:rPr>
        <w:t xml:space="preserve"> El incumplimiento a esta estipulación 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005321C0" w:rsidRPr="00E84355">
        <w:t xml:space="preserve"> </w:t>
      </w:r>
      <w:r w:rsidR="005321C0" w:rsidRPr="00E84355">
        <w:rPr>
          <w:rFonts w:asciiTheme="majorHAnsi" w:hAnsiTheme="majorHAnsi" w:cstheme="majorHAnsi"/>
          <w:b/>
          <w:color w:val="000000"/>
          <w:sz w:val="24"/>
          <w:szCs w:val="24"/>
          <w:lang w:eastAsia="en-US"/>
        </w:rPr>
        <w:t>PARAGRAFO 3:</w:t>
      </w:r>
      <w:r w:rsidR="005321C0" w:rsidRPr="00E84355">
        <w:rPr>
          <w:rFonts w:asciiTheme="majorHAnsi" w:hAnsiTheme="majorHAnsi" w:cstheme="majorHAnsi"/>
          <w:bCs/>
          <w:color w:val="000000"/>
          <w:sz w:val="24"/>
          <w:szCs w:val="24"/>
          <w:lang w:eastAsia="en-US"/>
        </w:rPr>
        <w:t xml:space="preserve"> Declaración de origen de los bienes y recursos de LAS PARTES: Con la presentación de la oferta, se entienden presentadas bajo la gravedad de juramento la siguiente declaración:</w:t>
      </w:r>
    </w:p>
    <w:p w14:paraId="5A299B2B"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0932A27B"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769004B3"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los recursos o bienes objeto del presente del Negocio Jurídico, no provienen de ninguna actividad ilícita de las contempladas en el Código Penal colombiano o en cualquier norma que lo modifique, adicione o sustituya.</w:t>
      </w:r>
    </w:p>
    <w:p w14:paraId="0E1133D4"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 Que, en la ejecución de la presente relación jurídica surgida de la oferta, LAS PARTES se abstendrán de tener vínculos con terceros que se conozca por cualquier medio estén vinculados a actividades de lavado de activos o financiación del terrorismo, fraude o </w:t>
      </w:r>
      <w:r w:rsidRPr="00E84355">
        <w:rPr>
          <w:rFonts w:asciiTheme="majorHAnsi" w:hAnsiTheme="majorHAnsi" w:cstheme="majorHAnsi"/>
          <w:bCs/>
          <w:color w:val="000000"/>
          <w:sz w:val="24"/>
          <w:szCs w:val="24"/>
          <w:lang w:eastAsia="en-US"/>
        </w:rPr>
        <w:lastRenderedPageBreak/>
        <w:t>corrupción.</w:t>
      </w:r>
    </w:p>
    <w:p w14:paraId="44FDF59A"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5DC3E784"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CHEC S.A. E.S.P BIC. facultado para efectuar las verificaciones que considere pertinentes y podrá dar por terminada cualquier relación jurídica surgida de la oferta si verifica que alguna de tales personas figura en dichas listas.</w:t>
      </w:r>
    </w:p>
    <w:p w14:paraId="3F95933D" w14:textId="77777777" w:rsidR="005321C0" w:rsidRPr="00E84355" w:rsidRDefault="005321C0" w:rsidP="005321C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verificada, que se demuestre con respecto a tales personas que impacte legal y </w:t>
      </w:r>
      <w:proofErr w:type="spellStart"/>
      <w:r w:rsidRPr="00E84355">
        <w:rPr>
          <w:rFonts w:asciiTheme="majorHAnsi" w:hAnsiTheme="majorHAnsi" w:cstheme="majorHAnsi"/>
          <w:bCs/>
          <w:color w:val="000000"/>
          <w:sz w:val="24"/>
          <w:szCs w:val="24"/>
          <w:lang w:eastAsia="en-US"/>
        </w:rPr>
        <w:t>reputacionalmente</w:t>
      </w:r>
      <w:proofErr w:type="spellEnd"/>
      <w:r w:rsidRPr="00E84355">
        <w:rPr>
          <w:rFonts w:asciiTheme="majorHAnsi" w:hAnsiTheme="majorHAnsi" w:cstheme="majorHAnsi"/>
          <w:bCs/>
          <w:color w:val="000000"/>
          <w:sz w:val="24"/>
          <w:szCs w:val="24"/>
          <w:lang w:eastAsia="en-US"/>
        </w:rPr>
        <w:t xml:space="preserve"> al OFERENTE ACEPTADO, exponiendo a CHEC S.A. E.S.P BIC a un riesgo de carácter legal o reputacional.</w:t>
      </w:r>
    </w:p>
    <w:p w14:paraId="13AF3742" w14:textId="7E009531" w:rsidR="00CF3A40" w:rsidRPr="00E84355" w:rsidRDefault="005321C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008B13A3">
        <w:rPr>
          <w:rFonts w:asciiTheme="majorHAnsi" w:hAnsiTheme="majorHAnsi" w:cstheme="majorHAnsi"/>
          <w:bCs/>
          <w:color w:val="000000"/>
          <w:sz w:val="24"/>
          <w:szCs w:val="24"/>
          <w:lang w:eastAsia="en-US"/>
        </w:rPr>
        <w:t xml:space="preserve"> </w:t>
      </w:r>
      <w:r w:rsidR="00CF3A40" w:rsidRPr="00E84355">
        <w:rPr>
          <w:rFonts w:asciiTheme="majorHAnsi" w:hAnsiTheme="majorHAnsi" w:cstheme="majorHAnsi"/>
          <w:b/>
          <w:color w:val="000000"/>
          <w:sz w:val="24"/>
          <w:szCs w:val="24"/>
          <w:lang w:eastAsia="en-US"/>
        </w:rPr>
        <w:t>VIGÉSIMA OCTAVA</w:t>
      </w:r>
      <w:r w:rsidR="00CF3A40" w:rsidRPr="00E84355">
        <w:rPr>
          <w:rFonts w:asciiTheme="majorHAnsi" w:hAnsiTheme="majorHAnsi" w:cstheme="majorHAnsi"/>
          <w:bCs/>
          <w:color w:val="000000"/>
          <w:sz w:val="24"/>
          <w:szCs w:val="24"/>
          <w:lang w:eastAsia="en-US"/>
        </w:rPr>
        <w:t xml:space="preserve">: Garantía De Cumplimiento: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constituirá a favor de CHEC S.A. E.S.P BIC una Garantía de cumplimiento, mediante una garantía bancaria (carta de crédito </w:t>
      </w:r>
      <w:proofErr w:type="spellStart"/>
      <w:r w:rsidR="00CF3A40" w:rsidRPr="00E84355">
        <w:rPr>
          <w:rFonts w:asciiTheme="majorHAnsi" w:hAnsiTheme="majorHAnsi" w:cstheme="majorHAnsi"/>
          <w:bCs/>
          <w:color w:val="000000"/>
          <w:sz w:val="24"/>
          <w:szCs w:val="24"/>
          <w:lang w:eastAsia="en-US"/>
        </w:rPr>
        <w:t>standby</w:t>
      </w:r>
      <w:proofErr w:type="spellEnd"/>
      <w:r w:rsidR="00CF3A40" w:rsidRPr="00E84355">
        <w:rPr>
          <w:rFonts w:asciiTheme="majorHAnsi" w:hAnsiTheme="majorHAnsi" w:cstheme="majorHAnsi"/>
          <w:bCs/>
          <w:color w:val="000000"/>
          <w:sz w:val="24"/>
          <w:szCs w:val="24"/>
          <w:lang w:eastAsia="en-US"/>
        </w:rPr>
        <w:t xml:space="preserve">), emitida por un establecimiento bancario o mediante una póliza de seguro para empresas de servicios públicos emitida por una aseguradora, vigilados por la Superintendencia Financiera de Colombia o quien haga sus veces, que ampare los perjuicios patrimoniales que le cause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derivados del incumplimiento imputable al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de cualquiera de las obligaciones de la Oferta Mercantil. La garantía </w:t>
      </w:r>
      <w:r w:rsidR="006017FC" w:rsidRPr="00E84355">
        <w:rPr>
          <w:rFonts w:asciiTheme="majorHAnsi" w:hAnsiTheme="majorHAnsi" w:cstheme="majorHAnsi"/>
          <w:bCs/>
          <w:color w:val="000000"/>
          <w:sz w:val="24"/>
          <w:szCs w:val="24"/>
          <w:lang w:eastAsia="en-US"/>
        </w:rPr>
        <w:t xml:space="preserve">también </w:t>
      </w:r>
      <w:r w:rsidR="00CF3A40" w:rsidRPr="00E84355">
        <w:rPr>
          <w:rFonts w:asciiTheme="majorHAnsi" w:hAnsiTheme="majorHAnsi" w:cstheme="majorHAnsi"/>
          <w:bCs/>
          <w:color w:val="000000"/>
          <w:sz w:val="24"/>
          <w:szCs w:val="24"/>
          <w:lang w:eastAsia="en-US"/>
        </w:rPr>
        <w:t xml:space="preserve">cubrirá la cláusula penal que se hiciere efectiva. Aclarando que la aseguradora no pagará al asegurado por estos conceptos sumas que excedan la suma asegurada establecida para el presente amparo. La garantía de cumplimiento se expedirá en la cuantía que se especifique </w:t>
      </w:r>
      <w:r w:rsidR="00003395" w:rsidRPr="00E84355">
        <w:rPr>
          <w:rFonts w:asciiTheme="majorHAnsi" w:hAnsiTheme="majorHAnsi" w:cstheme="majorHAnsi"/>
          <w:bCs/>
          <w:color w:val="000000"/>
          <w:sz w:val="24"/>
          <w:szCs w:val="24"/>
          <w:lang w:eastAsia="en-US"/>
        </w:rPr>
        <w:t xml:space="preserve">en la orden </w:t>
      </w:r>
      <w:r w:rsidR="00003395" w:rsidRPr="00E84355">
        <w:rPr>
          <w:rFonts w:asciiTheme="majorHAnsi" w:hAnsiTheme="majorHAnsi" w:cstheme="majorHAnsi"/>
          <w:bCs/>
          <w:color w:val="000000"/>
          <w:sz w:val="24"/>
          <w:szCs w:val="24"/>
          <w:lang w:eastAsia="en-US"/>
        </w:rPr>
        <w:lastRenderedPageBreak/>
        <w:t xml:space="preserve">de compra </w:t>
      </w:r>
      <w:r w:rsidR="00CF3A40" w:rsidRPr="00E84355">
        <w:rPr>
          <w:rFonts w:asciiTheme="majorHAnsi" w:hAnsiTheme="majorHAnsi" w:cstheme="majorHAnsi"/>
          <w:bCs/>
          <w:color w:val="000000"/>
          <w:sz w:val="24"/>
          <w:szCs w:val="24"/>
          <w:lang w:eastAsia="en-US"/>
        </w:rPr>
        <w:t xml:space="preserve">y deberá entregarse dentro de los 5 días hábiles siguientes a la fecha de firma de cada relación jurídica surgida de la oferta. El pago de la garantía de cumplimiento correrá por cuenta de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La garantía de cumplimiento deberá estar vigente por la totalidad del plazo del Negocio Jurídico, Para ello,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bien podrá presentar la garantía de cumplimiento por la totalidad de la del Negocio Jurídico de ser posible, o garantías sucesivas por periodos de mínimo un año y máximo de 5 años. En caso de que para finalizar el suministro falten menos de cinco (5) años, la vigencia de esta póliza será igual al plazo que falte para finalizar el suministro y hasta 3 (tres) meses después de finalizado el plazo de ejecución. En caso que se emitan garantías con vigencias sucesivas, no habrá obligatoriedad de renovación por parte de la entidad financiera o la compañía de Seguros que haya emitido la garantía de cumplimiento, pero tanto la entidad financiera o compañía</w:t>
      </w:r>
      <w:r w:rsidR="00CF3A40" w:rsidRPr="00E84355">
        <w:t xml:space="preserve"> </w:t>
      </w:r>
      <w:r w:rsidR="00CF3A40" w:rsidRPr="00E84355">
        <w:rPr>
          <w:rFonts w:asciiTheme="majorHAnsi" w:hAnsiTheme="majorHAnsi" w:cstheme="majorHAnsi"/>
          <w:bCs/>
          <w:color w:val="000000"/>
          <w:sz w:val="24"/>
          <w:szCs w:val="24"/>
          <w:lang w:eastAsia="en-US"/>
        </w:rPr>
        <w:t xml:space="preserve">de Seguros, como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deberán informar a CHEC S.A. E.S.P BIC, con seis (6) meses de</w:t>
      </w:r>
      <w:r w:rsidR="00CF3A40" w:rsidRPr="00E84355">
        <w:t xml:space="preserve"> </w:t>
      </w:r>
      <w:r w:rsidR="00CF3A40" w:rsidRPr="00E84355">
        <w:rPr>
          <w:rFonts w:asciiTheme="majorHAnsi" w:hAnsiTheme="majorHAnsi" w:cstheme="majorHAnsi"/>
          <w:bCs/>
          <w:color w:val="000000"/>
          <w:sz w:val="24"/>
          <w:szCs w:val="24"/>
          <w:lang w:eastAsia="en-US"/>
        </w:rPr>
        <w:t xml:space="preserve">anticipación al vencimiento de la garantía, la no renovación, lo cual no será causal por sí misma de incumplimiento del Negocio Jurídico y/o afectación de la última garantía constituida. En este caso,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deberá garantizar con otra garantía bancaria o póliza de seguro, sus obligaciones de la relación jurídica surgida de la oferta en las mismas condiciones establecidas en los pliegos de condiciones.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dar por terminado del Negocio Jurídico y hacer efectiva la Cláusula Penal Pecuniaria. Para el cálculo de la garantía de cumplimiento deberá amparar una suma igual al 3% (tres por ciento) del valor en pesos constantes de agosto de 2025 del suministro aceptado, y en caso de presentar garantías sucesivas las mismas se constituirán por el 3% del valor remanente del suministro aceptado en precios constantes del mes anterior a la renovación. Para la constitución de esta garantía, el valor estimado del suministro se calculará como la cantidad de energía aceptada multiplicada por el precio correspondiente. </w:t>
      </w:r>
      <w:r w:rsidR="00CF3A40" w:rsidRPr="00E84355">
        <w:rPr>
          <w:rFonts w:asciiTheme="majorHAnsi" w:hAnsiTheme="majorHAnsi" w:cstheme="majorHAnsi"/>
          <w:b/>
          <w:color w:val="000000"/>
          <w:sz w:val="24"/>
          <w:szCs w:val="24"/>
          <w:lang w:eastAsia="en-US"/>
        </w:rPr>
        <w:t>PARÁGRAFO:</w:t>
      </w:r>
      <w:r w:rsidR="00CF3A40" w:rsidRPr="00E84355">
        <w:rPr>
          <w:rFonts w:asciiTheme="majorHAnsi" w:hAnsiTheme="majorHAnsi" w:cstheme="majorHAnsi"/>
          <w:bCs/>
          <w:color w:val="000000"/>
          <w:sz w:val="24"/>
          <w:szCs w:val="24"/>
          <w:lang w:eastAsia="en-US"/>
        </w:rPr>
        <w:t xml:space="preserve"> CHEC S.A. E.S.P BIC constituirá y entregará al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un pagaré en blanco con carta de instrucciones, con el objeto de garantizar el pago de cada una de las obligaciones que se deriven del presente negocio jurídico a favor del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dentro de los 5 días hábiles siguientes a la fecha de entrega de la Orden de Compra. El pagaré y la carta de instrucciones será devuelto a CHEC S.A. E.S.P BIC inmediatamente después de finalizar el negocio jurídico, siempre y cuando CHEC S.A. E.S.P BIC esté a paz y salvo por todas las obligaciones que pudiera tener frente a 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w:t>
      </w:r>
      <w:r w:rsidR="00CF3A40" w:rsidRPr="00E84355">
        <w:rPr>
          <w:rFonts w:asciiTheme="majorHAnsi" w:hAnsiTheme="majorHAnsi" w:cstheme="majorHAnsi"/>
          <w:b/>
          <w:color w:val="000000"/>
          <w:sz w:val="24"/>
          <w:szCs w:val="24"/>
          <w:lang w:eastAsia="en-US"/>
        </w:rPr>
        <w:t>VIGÉSIMA NOVENA</w:t>
      </w:r>
      <w:r w:rsidR="00CF3A40" w:rsidRPr="00E84355">
        <w:rPr>
          <w:rFonts w:asciiTheme="majorHAnsi" w:hAnsiTheme="majorHAnsi" w:cstheme="majorHAnsi"/>
          <w:bCs/>
          <w:color w:val="000000"/>
          <w:sz w:val="24"/>
          <w:szCs w:val="24"/>
          <w:lang w:eastAsia="en-US"/>
        </w:rPr>
        <w:t xml:space="preserve">: Estipulaciones Adicionales: Suministro de información financiera: CHEC S.A. E.S.P BIC se obliga a entregar al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w:t>
      </w:r>
      <w:r w:rsidR="00003395" w:rsidRPr="00E84355">
        <w:rPr>
          <w:rFonts w:asciiTheme="majorHAnsi" w:hAnsiTheme="majorHAnsi" w:cstheme="majorHAnsi"/>
          <w:b/>
          <w:color w:val="000000"/>
          <w:sz w:val="24"/>
          <w:szCs w:val="24"/>
          <w:lang w:eastAsia="en-US"/>
        </w:rPr>
        <w:t xml:space="preserve">TRIGÉSIMA: </w:t>
      </w:r>
      <w:r w:rsidR="00CF3A40" w:rsidRPr="00E84355">
        <w:rPr>
          <w:rFonts w:asciiTheme="majorHAnsi" w:hAnsiTheme="majorHAnsi" w:cstheme="majorHAnsi"/>
          <w:bCs/>
          <w:color w:val="000000"/>
          <w:sz w:val="24"/>
          <w:szCs w:val="24"/>
          <w:lang w:eastAsia="en-US"/>
        </w:rPr>
        <w:t xml:space="preserve">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w:t>
      </w:r>
      <w:r w:rsidR="00CF3A40" w:rsidRPr="00E84355">
        <w:rPr>
          <w:rFonts w:asciiTheme="majorHAnsi" w:hAnsiTheme="majorHAnsi" w:cstheme="majorHAnsi"/>
          <w:bCs/>
          <w:color w:val="000000"/>
          <w:sz w:val="24"/>
          <w:szCs w:val="24"/>
          <w:lang w:eastAsia="en-US"/>
        </w:rPr>
        <w:lastRenderedPageBreak/>
        <w:t xml:space="preserve">lleguen a contraerse, fruto del comportamiento comercial y financiero positivo o negativo de cada una de ellas. En consecuencia, quedan recíprocamente autorizadas para reportar y actualizar el comportamiento tanto del </w:t>
      </w:r>
      <w:r w:rsidR="00FA7D83" w:rsidRPr="00E84355">
        <w:rPr>
          <w:rFonts w:asciiTheme="majorHAnsi" w:hAnsiTheme="majorHAnsi" w:cstheme="majorHAnsi"/>
          <w:bCs/>
          <w:color w:val="000000"/>
          <w:sz w:val="24"/>
          <w:szCs w:val="24"/>
          <w:lang w:eastAsia="en-US"/>
        </w:rPr>
        <w:t>OFERENTE ACEPTADO</w:t>
      </w:r>
      <w:r w:rsidR="00CF3A40" w:rsidRPr="00E84355">
        <w:rPr>
          <w:rFonts w:asciiTheme="majorHAnsi" w:hAnsiTheme="majorHAnsi" w:cstheme="majorHAnsi"/>
          <w:bCs/>
          <w:color w:val="000000"/>
          <w:sz w:val="24"/>
          <w:szCs w:val="24"/>
          <w:lang w:eastAsia="en-US"/>
        </w:rPr>
        <w:t xml:space="preserve"> como de CHEC S.A. E.S.P BIC en las mencionadas bases de datos. La permanencia de la información que se refleje dependerá de la forma y oportunidad en que cada una de las partes cumpla sus obligaciones, conforme a los plazos establecidos legal y jurisprudencialmente. </w:t>
      </w:r>
      <w:r w:rsidR="00CF3A40" w:rsidRPr="00E84355">
        <w:rPr>
          <w:rFonts w:asciiTheme="majorHAnsi" w:hAnsiTheme="majorHAnsi" w:cstheme="majorHAnsi"/>
          <w:b/>
          <w:color w:val="000000"/>
          <w:sz w:val="24"/>
          <w:szCs w:val="24"/>
          <w:lang w:eastAsia="en-US"/>
        </w:rPr>
        <w:t>TRIGÉSIMA</w:t>
      </w:r>
      <w:r w:rsidR="00003395" w:rsidRPr="00E84355">
        <w:rPr>
          <w:rFonts w:asciiTheme="majorHAnsi" w:hAnsiTheme="majorHAnsi" w:cstheme="majorHAnsi"/>
          <w:b/>
          <w:color w:val="000000"/>
          <w:sz w:val="24"/>
          <w:szCs w:val="24"/>
          <w:lang w:eastAsia="en-US"/>
        </w:rPr>
        <w:t xml:space="preserve"> PRIMERA</w:t>
      </w:r>
      <w:r w:rsidR="00CF3A40" w:rsidRPr="00E84355">
        <w:rPr>
          <w:rFonts w:asciiTheme="majorHAnsi" w:hAnsiTheme="majorHAnsi" w:cstheme="majorHAnsi"/>
          <w:b/>
          <w:color w:val="000000"/>
          <w:sz w:val="24"/>
          <w:szCs w:val="24"/>
          <w:lang w:eastAsia="en-US"/>
        </w:rPr>
        <w:t>:</w:t>
      </w:r>
      <w:r w:rsidR="00CF3A40" w:rsidRPr="00E84355">
        <w:rPr>
          <w:rFonts w:asciiTheme="majorHAnsi" w:hAnsiTheme="majorHAnsi" w:cstheme="majorHAnsi"/>
          <w:bCs/>
          <w:color w:val="000000"/>
          <w:sz w:val="24"/>
          <w:szCs w:val="24"/>
          <w:lang w:eastAsia="en-US"/>
        </w:rPr>
        <w:t xml:space="preserve"> Protección Del Medio Ambiente: El Aceptante o Suscriptor se compromete a adoptar las medidas adecuadas para garantizar el cumplimiento de las obligaciones medioambientales requeridas por la legislación vigente y que guarden relación con la Oferta Mercantil o estén relacionadas con la ejecución de su Objeto. Cumplimiento De Normas Sobre Control Al Lavado De Activos Y Financiación Del Terrorismo: LAS PARTES, El Aceptante de la Oferta y Oferente,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00CF3A40" w:rsidRPr="00E84355">
        <w:t xml:space="preserve"> </w:t>
      </w:r>
      <w:r w:rsidR="00CF3A40" w:rsidRPr="00E84355">
        <w:rPr>
          <w:rFonts w:asciiTheme="majorHAnsi" w:hAnsiTheme="majorHAnsi" w:cstheme="majorHAnsi"/>
          <w:b/>
          <w:color w:val="000000"/>
          <w:sz w:val="24"/>
          <w:szCs w:val="24"/>
          <w:lang w:eastAsia="en-US"/>
        </w:rPr>
        <w:t xml:space="preserve">TRIGÉSIMA </w:t>
      </w:r>
      <w:r w:rsidR="008B13A3">
        <w:rPr>
          <w:rFonts w:asciiTheme="majorHAnsi" w:hAnsiTheme="majorHAnsi" w:cstheme="majorHAnsi"/>
          <w:b/>
          <w:color w:val="000000"/>
          <w:sz w:val="24"/>
          <w:szCs w:val="24"/>
          <w:lang w:eastAsia="en-US"/>
        </w:rPr>
        <w:t>SEGUNDA</w:t>
      </w:r>
      <w:r w:rsidR="00CF3A40" w:rsidRPr="00E84355">
        <w:rPr>
          <w:rFonts w:asciiTheme="majorHAnsi" w:hAnsiTheme="majorHAnsi" w:cstheme="majorHAnsi"/>
          <w:b/>
          <w:color w:val="000000"/>
          <w:sz w:val="24"/>
          <w:szCs w:val="24"/>
          <w:lang w:eastAsia="en-US"/>
        </w:rPr>
        <w:t>:</w:t>
      </w:r>
      <w:r w:rsidR="00CF3A40" w:rsidRPr="00E84355">
        <w:rPr>
          <w:rFonts w:asciiTheme="majorHAnsi" w:hAnsiTheme="majorHAnsi" w:cstheme="majorHAnsi"/>
          <w:bCs/>
          <w:color w:val="000000"/>
          <w:sz w:val="24"/>
          <w:szCs w:val="24"/>
          <w:lang w:eastAsia="en-US"/>
        </w:rPr>
        <w:t xml:space="preserve"> Mantendremos válida nuestra oferta por el término de quince (45) días calendario contados a partir de la fecha de entrega de las ofertas y los requisitos habilitantes, y procederemos a ampliar su validez y la vigencia de Garantía de Seriedad si se diere el supuesto contemplado en este pliego.</w:t>
      </w:r>
      <w:r w:rsidR="00CF3A40" w:rsidRPr="00E84355">
        <w:t xml:space="preserve"> </w:t>
      </w:r>
      <w:r w:rsidR="00CF3A40" w:rsidRPr="00E84355">
        <w:rPr>
          <w:rFonts w:asciiTheme="majorHAnsi" w:hAnsiTheme="majorHAnsi" w:cstheme="majorHAnsi"/>
          <w:b/>
          <w:color w:val="000000"/>
          <w:sz w:val="24"/>
          <w:szCs w:val="24"/>
          <w:lang w:eastAsia="en-US"/>
        </w:rPr>
        <w:t xml:space="preserve">TRIGÉSIMA </w:t>
      </w:r>
      <w:r w:rsidR="008B13A3">
        <w:rPr>
          <w:rFonts w:asciiTheme="majorHAnsi" w:hAnsiTheme="majorHAnsi" w:cstheme="majorHAnsi"/>
          <w:b/>
          <w:color w:val="000000"/>
          <w:sz w:val="24"/>
          <w:szCs w:val="24"/>
          <w:lang w:eastAsia="en-US"/>
        </w:rPr>
        <w:t>TERCERA</w:t>
      </w:r>
      <w:r w:rsidR="008B13A3">
        <w:rPr>
          <w:rFonts w:asciiTheme="majorHAnsi" w:hAnsiTheme="majorHAnsi" w:cstheme="majorHAnsi"/>
          <w:bCs/>
          <w:color w:val="000000"/>
          <w:sz w:val="24"/>
          <w:szCs w:val="24"/>
          <w:lang w:eastAsia="en-US"/>
        </w:rPr>
        <w:t xml:space="preserve">: </w:t>
      </w:r>
      <w:r w:rsidR="00CF3A40" w:rsidRPr="00E84355">
        <w:rPr>
          <w:rFonts w:asciiTheme="majorHAnsi" w:hAnsiTheme="majorHAnsi" w:cstheme="majorHAnsi"/>
          <w:bCs/>
          <w:color w:val="000000"/>
          <w:sz w:val="24"/>
          <w:szCs w:val="24"/>
          <w:lang w:eastAsia="en-US"/>
        </w:rPr>
        <w:t xml:space="preserve">Manifestamos que no nos hallamos incursos en ninguna de las causales de inhabilidad e incompatibilidad consignadas en la ley y que de sobrevenir alguna de ellas cederemos el negocio jurídico, previa autorización escrita de CHEC S.A. E.S.P BIC y que de no ser posible la cesión, renunciaremos a continuar su ejecución. </w:t>
      </w:r>
      <w:r w:rsidR="00CF3A40" w:rsidRPr="00E84355">
        <w:rPr>
          <w:rFonts w:asciiTheme="majorHAnsi" w:hAnsiTheme="majorHAnsi" w:cstheme="majorHAnsi"/>
          <w:b/>
          <w:color w:val="000000"/>
          <w:sz w:val="24"/>
          <w:szCs w:val="24"/>
          <w:lang w:eastAsia="en-US"/>
        </w:rPr>
        <w:t>TRIGÉSIMA</w:t>
      </w:r>
      <w:r w:rsidR="000659AC" w:rsidRPr="00E84355">
        <w:rPr>
          <w:rFonts w:asciiTheme="majorHAnsi" w:hAnsiTheme="majorHAnsi" w:cstheme="majorHAnsi"/>
          <w:b/>
          <w:color w:val="000000"/>
          <w:sz w:val="24"/>
          <w:szCs w:val="24"/>
          <w:lang w:eastAsia="en-US"/>
        </w:rPr>
        <w:t xml:space="preserve"> </w:t>
      </w:r>
      <w:r w:rsidR="008B13A3">
        <w:rPr>
          <w:rFonts w:asciiTheme="majorHAnsi" w:hAnsiTheme="majorHAnsi" w:cstheme="majorHAnsi"/>
          <w:b/>
          <w:color w:val="000000"/>
          <w:sz w:val="24"/>
          <w:szCs w:val="24"/>
          <w:lang w:eastAsia="en-US"/>
        </w:rPr>
        <w:t>CUARTA</w:t>
      </w:r>
      <w:r w:rsidR="00CF3A40" w:rsidRPr="00E84355">
        <w:rPr>
          <w:rFonts w:asciiTheme="majorHAnsi" w:hAnsiTheme="majorHAnsi" w:cstheme="majorHAnsi"/>
          <w:b/>
          <w:color w:val="000000"/>
          <w:sz w:val="24"/>
          <w:szCs w:val="24"/>
          <w:lang w:eastAsia="en-US"/>
        </w:rPr>
        <w:t xml:space="preserve">: </w:t>
      </w:r>
      <w:r w:rsidR="00CF3A40" w:rsidRPr="00E84355">
        <w:rPr>
          <w:rFonts w:asciiTheme="majorHAnsi" w:hAnsiTheme="majorHAnsi" w:cstheme="majorHAnsi"/>
          <w:bCs/>
          <w:color w:val="000000"/>
          <w:sz w:val="24"/>
          <w:szCs w:val="24"/>
          <w:lang w:eastAsia="en-US"/>
        </w:rPr>
        <w:t>Declaramos que la información contenida en nuestra oferta es exacta y veraz, y que aportaremos las pruebas que CHEC S.A. E.S.P BIC considere necesarias para verificar su exactitud y en caso de no ser ello satisfactorio para CHEC S.A. E.S.P BIC conforme a las exigencias de los documentos de esta contratación, aceptamos que nuestra oferta sea eliminada.</w:t>
      </w:r>
      <w:r w:rsidR="00CF3A40" w:rsidRPr="00E84355">
        <w:rPr>
          <w:rFonts w:asciiTheme="majorHAnsi" w:hAnsiTheme="majorHAnsi" w:cstheme="majorHAnsi"/>
          <w:b/>
          <w:color w:val="000000"/>
          <w:sz w:val="24"/>
          <w:szCs w:val="24"/>
          <w:lang w:eastAsia="en-US"/>
        </w:rPr>
        <w:t xml:space="preserve"> TRIGÉSIMA</w:t>
      </w:r>
      <w:r w:rsidR="008B13A3">
        <w:rPr>
          <w:rFonts w:asciiTheme="majorHAnsi" w:hAnsiTheme="majorHAnsi" w:cstheme="majorHAnsi"/>
          <w:b/>
          <w:color w:val="000000"/>
          <w:sz w:val="24"/>
          <w:szCs w:val="24"/>
          <w:lang w:eastAsia="en-US"/>
        </w:rPr>
        <w:t xml:space="preserve"> QUINTA</w:t>
      </w:r>
      <w:r w:rsidR="00CF3A40" w:rsidRPr="00E84355">
        <w:rPr>
          <w:rFonts w:asciiTheme="majorHAnsi" w:hAnsiTheme="majorHAnsi" w:cstheme="majorHAnsi"/>
          <w:b/>
          <w:color w:val="000000"/>
          <w:sz w:val="24"/>
          <w:szCs w:val="24"/>
          <w:lang w:eastAsia="en-US"/>
        </w:rPr>
        <w:t xml:space="preserve">: </w:t>
      </w:r>
      <w:r w:rsidR="00CF3A40" w:rsidRPr="00E84355">
        <w:rPr>
          <w:rFonts w:asciiTheme="majorHAnsi" w:hAnsiTheme="majorHAnsi" w:cstheme="majorHAnsi"/>
          <w:bCs/>
          <w:color w:val="000000"/>
          <w:sz w:val="24"/>
          <w:szCs w:val="24"/>
          <w:lang w:eastAsia="en-US"/>
        </w:rPr>
        <w:t>Confidencialidad: las partes garantizan la confidencialidad de la información mientras la misma no sea pública.</w:t>
      </w:r>
    </w:p>
    <w:p w14:paraId="287C8033" w14:textId="196EE3A6"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ab/>
      </w:r>
    </w:p>
    <w:p w14:paraId="4B4EE6EA"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¿Somos Auto retenedor de Impuesto de Industria y Comercio en su Municipio?</w:t>
      </w:r>
    </w:p>
    <w:p w14:paraId="2CFD764D"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12B032E7"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Sí_____________ No____________</w:t>
      </w:r>
    </w:p>
    <w:p w14:paraId="0C9D93F9"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5526AC50"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Municipio. </w:t>
      </w:r>
    </w:p>
    <w:p w14:paraId="5EBFA02F"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_______________________</w:t>
      </w:r>
    </w:p>
    <w:p w14:paraId="787116D1"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258557C6"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0785068C"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1558E481"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Atentamente,</w:t>
      </w:r>
    </w:p>
    <w:p w14:paraId="4181538B" w14:textId="77777777" w:rsidR="005D6A4B" w:rsidRPr="00E84355" w:rsidRDefault="005D6A4B" w:rsidP="00CF3A40">
      <w:pPr>
        <w:pStyle w:val="Textoindependiente"/>
        <w:jc w:val="both"/>
        <w:rPr>
          <w:rFonts w:asciiTheme="majorHAnsi" w:hAnsiTheme="majorHAnsi" w:cstheme="majorHAnsi"/>
          <w:bCs/>
          <w:color w:val="000000"/>
          <w:sz w:val="24"/>
          <w:szCs w:val="24"/>
          <w:lang w:eastAsia="en-US"/>
        </w:rPr>
      </w:pPr>
    </w:p>
    <w:p w14:paraId="376CDF62" w14:textId="3C0395D1"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[Firma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persona natural o del representante legal si es persona jurídica]</w:t>
      </w:r>
    </w:p>
    <w:p w14:paraId="66C27E21"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4E6D956C"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_______________________________________</w:t>
      </w:r>
      <w:r w:rsidRPr="00E84355">
        <w:rPr>
          <w:rFonts w:asciiTheme="majorHAnsi" w:hAnsiTheme="majorHAnsi" w:cstheme="majorHAnsi"/>
          <w:bCs/>
          <w:color w:val="000000"/>
          <w:sz w:val="24"/>
          <w:szCs w:val="24"/>
          <w:lang w:eastAsia="en-US"/>
        </w:rPr>
        <w:tab/>
      </w:r>
    </w:p>
    <w:p w14:paraId="5D0A3D7A"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6CE56B14" w14:textId="70975634"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[Nombre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persona natural o del representante legal si es persona jurídica]</w:t>
      </w:r>
    </w:p>
    <w:p w14:paraId="3849BE79"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C.C. </w:t>
      </w:r>
    </w:p>
    <w:p w14:paraId="001D0A7E"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752831C7"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220A8D5E" w14:textId="78D2FC94"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INFORMACIÓN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 xml:space="preserve">: </w:t>
      </w:r>
    </w:p>
    <w:p w14:paraId="09DE0A92"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p>
    <w:p w14:paraId="26483817" w14:textId="5130A4FD"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Nombre del </w:t>
      </w:r>
      <w:r w:rsidR="00FA7D83" w:rsidRPr="00E84355">
        <w:rPr>
          <w:rFonts w:asciiTheme="majorHAnsi" w:hAnsiTheme="majorHAnsi" w:cstheme="majorHAnsi"/>
          <w:bCs/>
          <w:color w:val="000000"/>
          <w:sz w:val="24"/>
          <w:szCs w:val="24"/>
          <w:lang w:eastAsia="en-US"/>
        </w:rPr>
        <w:t>OFERENTE ACEPTADO</w:t>
      </w:r>
      <w:r w:rsidRPr="00E84355">
        <w:rPr>
          <w:rFonts w:asciiTheme="majorHAnsi" w:hAnsiTheme="majorHAnsi" w:cstheme="majorHAnsi"/>
          <w:bCs/>
          <w:color w:val="000000"/>
          <w:sz w:val="24"/>
          <w:szCs w:val="24"/>
          <w:lang w:eastAsia="en-US"/>
        </w:rPr>
        <w:t>:</w:t>
      </w:r>
    </w:p>
    <w:p w14:paraId="3B9C94E9"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NIT:</w:t>
      </w:r>
    </w:p>
    <w:p w14:paraId="01097E39"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Nombre de Representante legal:</w:t>
      </w:r>
    </w:p>
    <w:p w14:paraId="643C006F"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Cédula de Ciudadanía:                            Fecha de Expedición:</w:t>
      </w:r>
    </w:p>
    <w:p w14:paraId="6CE99736"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Dirección:</w:t>
      </w:r>
    </w:p>
    <w:p w14:paraId="585AE5B5"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 xml:space="preserve">Teléfono:                                                  </w:t>
      </w:r>
    </w:p>
    <w:p w14:paraId="322B2A98" w14:textId="77777777" w:rsidR="00CF3A40" w:rsidRPr="00E84355"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Correo electrónico:</w:t>
      </w:r>
    </w:p>
    <w:p w14:paraId="3D0DDAE4" w14:textId="77777777" w:rsidR="00CF3A40" w:rsidRPr="007F382A" w:rsidRDefault="00CF3A40" w:rsidP="00CF3A40">
      <w:pPr>
        <w:pStyle w:val="Textoindependiente"/>
        <w:jc w:val="both"/>
        <w:rPr>
          <w:rFonts w:asciiTheme="majorHAnsi" w:hAnsiTheme="majorHAnsi" w:cstheme="majorHAnsi"/>
          <w:bCs/>
          <w:color w:val="000000"/>
          <w:sz w:val="24"/>
          <w:szCs w:val="24"/>
          <w:lang w:eastAsia="en-US"/>
        </w:rPr>
      </w:pPr>
      <w:r w:rsidRPr="00E84355">
        <w:rPr>
          <w:rFonts w:asciiTheme="majorHAnsi" w:hAnsiTheme="majorHAnsi" w:cstheme="majorHAnsi"/>
          <w:bCs/>
          <w:color w:val="000000"/>
          <w:sz w:val="24"/>
          <w:szCs w:val="24"/>
          <w:lang w:eastAsia="en-US"/>
        </w:rPr>
        <w:t>Ciudad:</w:t>
      </w:r>
    </w:p>
    <w:p w14:paraId="49543A09" w14:textId="77777777" w:rsidR="00EB6158" w:rsidRDefault="00EB6158"/>
    <w:sectPr w:rsidR="00EB61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40"/>
    <w:rsid w:val="00003395"/>
    <w:rsid w:val="000659AC"/>
    <w:rsid w:val="00143F62"/>
    <w:rsid w:val="00161C3F"/>
    <w:rsid w:val="001B00BE"/>
    <w:rsid w:val="00297909"/>
    <w:rsid w:val="00322415"/>
    <w:rsid w:val="00452452"/>
    <w:rsid w:val="00490E53"/>
    <w:rsid w:val="005321C0"/>
    <w:rsid w:val="005D6A4B"/>
    <w:rsid w:val="005D6CE9"/>
    <w:rsid w:val="005E68D6"/>
    <w:rsid w:val="006017FC"/>
    <w:rsid w:val="00614AB0"/>
    <w:rsid w:val="00817AFF"/>
    <w:rsid w:val="008B13A3"/>
    <w:rsid w:val="009115D1"/>
    <w:rsid w:val="00AA3344"/>
    <w:rsid w:val="00AB3137"/>
    <w:rsid w:val="00B668BF"/>
    <w:rsid w:val="00CF3A40"/>
    <w:rsid w:val="00D30462"/>
    <w:rsid w:val="00E84355"/>
    <w:rsid w:val="00EB6158"/>
    <w:rsid w:val="00ED28F2"/>
    <w:rsid w:val="00FA4F39"/>
    <w:rsid w:val="00FA7D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BACA"/>
  <w15:chartTrackingRefBased/>
  <w15:docId w15:val="{FA44A3B7-841D-4403-B2FC-4F068274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3A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F3A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F3A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A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A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A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A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A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A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A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A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A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A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A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A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A40"/>
    <w:rPr>
      <w:rFonts w:eastAsiaTheme="majorEastAsia" w:cstheme="majorBidi"/>
      <w:color w:val="272727" w:themeColor="text1" w:themeTint="D8"/>
    </w:rPr>
  </w:style>
  <w:style w:type="paragraph" w:styleId="Ttulo">
    <w:name w:val="Title"/>
    <w:basedOn w:val="Normal"/>
    <w:next w:val="Normal"/>
    <w:link w:val="TtuloCar"/>
    <w:uiPriority w:val="10"/>
    <w:qFormat/>
    <w:rsid w:val="00CF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A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A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A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A40"/>
    <w:pPr>
      <w:spacing w:before="160"/>
      <w:jc w:val="center"/>
    </w:pPr>
    <w:rPr>
      <w:i/>
      <w:iCs/>
      <w:color w:val="404040" w:themeColor="text1" w:themeTint="BF"/>
    </w:rPr>
  </w:style>
  <w:style w:type="character" w:customStyle="1" w:styleId="CitaCar">
    <w:name w:val="Cita Car"/>
    <w:basedOn w:val="Fuentedeprrafopredeter"/>
    <w:link w:val="Cita"/>
    <w:uiPriority w:val="29"/>
    <w:rsid w:val="00CF3A40"/>
    <w:rPr>
      <w:i/>
      <w:iCs/>
      <w:color w:val="404040" w:themeColor="text1" w:themeTint="BF"/>
    </w:rPr>
  </w:style>
  <w:style w:type="paragraph" w:styleId="Prrafodelista">
    <w:name w:val="List Paragraph"/>
    <w:basedOn w:val="Normal"/>
    <w:uiPriority w:val="34"/>
    <w:qFormat/>
    <w:rsid w:val="00CF3A40"/>
    <w:pPr>
      <w:ind w:left="720"/>
      <w:contextualSpacing/>
    </w:pPr>
  </w:style>
  <w:style w:type="character" w:styleId="nfasisintenso">
    <w:name w:val="Intense Emphasis"/>
    <w:basedOn w:val="Fuentedeprrafopredeter"/>
    <w:uiPriority w:val="21"/>
    <w:qFormat/>
    <w:rsid w:val="00CF3A40"/>
    <w:rPr>
      <w:i/>
      <w:iCs/>
      <w:color w:val="0F4761" w:themeColor="accent1" w:themeShade="BF"/>
    </w:rPr>
  </w:style>
  <w:style w:type="paragraph" w:styleId="Citadestacada">
    <w:name w:val="Intense Quote"/>
    <w:basedOn w:val="Normal"/>
    <w:next w:val="Normal"/>
    <w:link w:val="CitadestacadaCar"/>
    <w:uiPriority w:val="30"/>
    <w:qFormat/>
    <w:rsid w:val="00CF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A40"/>
    <w:rPr>
      <w:i/>
      <w:iCs/>
      <w:color w:val="0F4761" w:themeColor="accent1" w:themeShade="BF"/>
    </w:rPr>
  </w:style>
  <w:style w:type="character" w:styleId="Referenciaintensa">
    <w:name w:val="Intense Reference"/>
    <w:basedOn w:val="Fuentedeprrafopredeter"/>
    <w:uiPriority w:val="32"/>
    <w:qFormat/>
    <w:rsid w:val="00CF3A40"/>
    <w:rPr>
      <w:b/>
      <w:bCs/>
      <w:smallCaps/>
      <w:color w:val="0F4761" w:themeColor="accent1" w:themeShade="BF"/>
      <w:spacing w:val="5"/>
    </w:rPr>
  </w:style>
  <w:style w:type="paragraph" w:customStyle="1" w:styleId="Default">
    <w:name w:val="Default"/>
    <w:rsid w:val="00CF3A40"/>
    <w:pPr>
      <w:autoSpaceDE w:val="0"/>
      <w:autoSpaceDN w:val="0"/>
      <w:adjustRightInd w:val="0"/>
      <w:spacing w:after="0" w:line="240" w:lineRule="auto"/>
    </w:pPr>
    <w:rPr>
      <w:rFonts w:ascii="Trebuchet MS" w:eastAsiaTheme="minorEastAsia" w:hAnsi="Trebuchet MS" w:cs="Trebuchet MS"/>
      <w:color w:val="000000"/>
      <w:kern w:val="0"/>
      <w:sz w:val="24"/>
      <w:szCs w:val="24"/>
      <w14:ligatures w14:val="none"/>
    </w:rPr>
  </w:style>
  <w:style w:type="character" w:styleId="Hipervnculo">
    <w:name w:val="Hyperlink"/>
    <w:basedOn w:val="Fuentedeprrafopredeter"/>
    <w:uiPriority w:val="99"/>
    <w:unhideWhenUsed/>
    <w:rsid w:val="00CF3A40"/>
    <w:rPr>
      <w:color w:val="467886" w:themeColor="hyperlink"/>
      <w:u w:val="single"/>
    </w:rPr>
  </w:style>
  <w:style w:type="paragraph" w:styleId="Textoindependiente">
    <w:name w:val="Body Text"/>
    <w:basedOn w:val="Normal"/>
    <w:link w:val="TextoindependienteCar"/>
    <w:uiPriority w:val="1"/>
    <w:rsid w:val="00CF3A40"/>
    <w:pPr>
      <w:widowControl w:val="0"/>
      <w:autoSpaceDE w:val="0"/>
      <w:autoSpaceDN w:val="0"/>
      <w:adjustRightInd w:val="0"/>
      <w:spacing w:after="0" w:line="240" w:lineRule="auto"/>
    </w:pPr>
    <w:rPr>
      <w:rFonts w:ascii="Arial" w:eastAsiaTheme="minorEastAsia" w:hAnsi="Arial" w:cs="Arial"/>
      <w:kern w:val="0"/>
      <w:lang w:eastAsia="es-CO"/>
      <w14:ligatures w14:val="none"/>
    </w:rPr>
  </w:style>
  <w:style w:type="character" w:customStyle="1" w:styleId="TextoindependienteCar">
    <w:name w:val="Texto independiente Car"/>
    <w:basedOn w:val="Fuentedeprrafopredeter"/>
    <w:link w:val="Textoindependiente"/>
    <w:uiPriority w:val="1"/>
    <w:rsid w:val="00CF3A40"/>
    <w:rPr>
      <w:rFonts w:ascii="Arial" w:eastAsiaTheme="minorEastAsia" w:hAnsi="Arial" w:cs="Arial"/>
      <w:kern w:val="0"/>
      <w:lang w:eastAsia="es-CO"/>
      <w14:ligatures w14:val="none"/>
    </w:rPr>
  </w:style>
  <w:style w:type="paragraph" w:styleId="Revisin">
    <w:name w:val="Revision"/>
    <w:hidden/>
    <w:uiPriority w:val="99"/>
    <w:semiHidden/>
    <w:rsid w:val="00ED28F2"/>
    <w:pPr>
      <w:spacing w:after="0" w:line="240" w:lineRule="auto"/>
    </w:pPr>
  </w:style>
  <w:style w:type="character" w:styleId="Refdecomentario">
    <w:name w:val="annotation reference"/>
    <w:basedOn w:val="Fuentedeprrafopredeter"/>
    <w:uiPriority w:val="99"/>
    <w:semiHidden/>
    <w:unhideWhenUsed/>
    <w:rsid w:val="00ED28F2"/>
    <w:rPr>
      <w:sz w:val="16"/>
      <w:szCs w:val="16"/>
    </w:rPr>
  </w:style>
  <w:style w:type="paragraph" w:styleId="Textocomentario">
    <w:name w:val="annotation text"/>
    <w:basedOn w:val="Normal"/>
    <w:link w:val="TextocomentarioCar"/>
    <w:uiPriority w:val="99"/>
    <w:unhideWhenUsed/>
    <w:rsid w:val="00ED28F2"/>
    <w:pPr>
      <w:spacing w:line="240" w:lineRule="auto"/>
    </w:pPr>
    <w:rPr>
      <w:sz w:val="20"/>
      <w:szCs w:val="20"/>
    </w:rPr>
  </w:style>
  <w:style w:type="character" w:customStyle="1" w:styleId="TextocomentarioCar">
    <w:name w:val="Texto comentario Car"/>
    <w:basedOn w:val="Fuentedeprrafopredeter"/>
    <w:link w:val="Textocomentario"/>
    <w:uiPriority w:val="99"/>
    <w:rsid w:val="00ED28F2"/>
    <w:rPr>
      <w:sz w:val="20"/>
      <w:szCs w:val="20"/>
    </w:rPr>
  </w:style>
  <w:style w:type="paragraph" w:styleId="Asuntodelcomentario">
    <w:name w:val="annotation subject"/>
    <w:basedOn w:val="Textocomentario"/>
    <w:next w:val="Textocomentario"/>
    <w:link w:val="AsuntodelcomentarioCar"/>
    <w:uiPriority w:val="99"/>
    <w:semiHidden/>
    <w:unhideWhenUsed/>
    <w:rsid w:val="00ED28F2"/>
    <w:rPr>
      <w:b/>
      <w:bCs/>
    </w:rPr>
  </w:style>
  <w:style w:type="character" w:customStyle="1" w:styleId="AsuntodelcomentarioCar">
    <w:name w:val="Asunto del comentario Car"/>
    <w:basedOn w:val="TextocomentarioCar"/>
    <w:link w:val="Asuntodelcomentario"/>
    <w:uiPriority w:val="99"/>
    <w:semiHidden/>
    <w:rsid w:val="00ED28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HEC.com.co/Home/Transparencia" TargetMode="External"/><Relationship Id="rId5" Type="http://schemas.openxmlformats.org/officeDocument/2006/relationships/hyperlink" Target="mailto:facturaelectronicachec@grupo-epm.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661B-E0D4-4386-80F3-BC288063BA79}">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48</TotalTime>
  <Pages>15</Pages>
  <Words>8300</Words>
  <Characters>43908</Characters>
  <Application>Microsoft Office Word</Application>
  <DocSecurity>0</DocSecurity>
  <Lines>645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ELENA QUICENO PEREZ</dc:creator>
  <cp:keywords/>
  <dc:description/>
  <cp:lastModifiedBy>VALENTINA HINCAPIE BEDOYA</cp:lastModifiedBy>
  <cp:revision>9</cp:revision>
  <dcterms:created xsi:type="dcterms:W3CDTF">2025-10-08T14:22:00Z</dcterms:created>
  <dcterms:modified xsi:type="dcterms:W3CDTF">2025-10-08T15:11:00Z</dcterms:modified>
</cp:coreProperties>
</file>