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3994" w14:textId="0A9A4118"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MINUTA DE LA OFERTA MERCANTIL </w:t>
      </w:r>
    </w:p>
    <w:p w14:paraId="6B57C272"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20CB8DE5"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3C0F550C"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[Ciudad y fecha]</w:t>
      </w:r>
    </w:p>
    <w:p w14:paraId="333E7272"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7DB94505"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Doctora</w:t>
      </w:r>
    </w:p>
    <w:p w14:paraId="4799C73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MARTHA LIBIA CASTAÑO TOVAR</w:t>
      </w:r>
    </w:p>
    <w:p w14:paraId="717BEF6D"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Gerente General </w:t>
      </w:r>
    </w:p>
    <w:p w14:paraId="3A9D2B20"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CENTRAL HIDROELÉCTRICA DE CALDAS S.A. E.S.P.  BIC</w:t>
      </w:r>
    </w:p>
    <w:p w14:paraId="3A8C2E49"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Manizales </w:t>
      </w:r>
    </w:p>
    <w:p w14:paraId="2ED8812F"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42E0B9AC"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423FCDE8"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ASUNTO: OFERTA MERCANTIL SEGÚN INVITACIÓN CP-CHCC2026-001 CRW380776.</w:t>
      </w:r>
    </w:p>
    <w:p w14:paraId="24CB0FA1"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1D235EDE"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[Incluir nombre de la empresa OFERENTE] (en adelante la empresa o el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manifestamos que conocemos y aceptamos de forma integral y completa las condiciones de la INVITACIÓN PÚBLICA DE OFERTA MERCANTIL CP-CHCC2026-001 – CRW380776, por lo anterior, presentamos a ustedes la siguiente oferta mercantil de suministro de energía No. [Incluir el numero de la Oferta Mercantil] en los términos y condiciones que se exponen en las siguientes cláusulas y en lo no previsto en ellas por las disposiciones legales que regulen la materia:</w:t>
      </w:r>
    </w:p>
    <w:p w14:paraId="70FB3A25"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54308468" w14:textId="77A0CD1F"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lastRenderedPageBreak/>
        <w:t xml:space="preserve">PRIMERA: Antecedentes. a) CHEC S.A. E.S.P BIC, realizó Invitación Pública Oferta Mercantil CP-CHCC2026-001 – CRW380776 para el suministro parcial de la energía y potencia eléctrica requeridas para atender el mercado regulado, incluyendo las pérdidas en el Sistema de Transmisión Nacional, para los años comprendidos entre el 1 de enero del 2027 al 31 de diciembre de 2031, y en todo caso la fecha de inicio del Negocio Jurídico será la fecha de registro, de acuerdo con la regulación vigente en el momento del registro. b) Que son actividades inherentes al objeto social de EL OFERENTE la generación y/o comercialización de energía. c) Que es actividad propia del objeto social de CHEC S.A. E.S.P BIC la generación y/o comercialización de energía eléctrica, además de la transmisión y/o distribución de la misma. d) Que EL OFERENTE y CHEC S.A. E.S.P BIC hacen parte del Sistema Interconectado Nacional -SIN- y por tanto el despacho de generación y la operación del sistema se sujetan a las normas y procedimientos establecidos por los organismos reguladores de dicho sistema. e) Que CHEC S.A. E.S.P BIC evaluará la totalidad de las ofertas presentadas, según la metodología expuesta en las condiciones. f) Que la ejecución del Negocio Jurídico deberá realizarse conforme a las normas y procedimientos establecidos por el SIN, y particularmente por aquellos contenidos en el Reglamento de Operación del Sistema Interconectado Nacional junto con sus adiciones y modificaciones, cuyas reglas formarán parte integrante e inseparable del negocio jurídico, al igual que las normas y procedimientos establecidos o que se establezcan sobre la materia, durante la vigencia del Negocio Jurídico, por la Comisión de Regulación de Energía y Gas -CREG- o quien haga sus veces. SEGUNDA: Objeto de la Oferta Mercantil. EL OFERENTE ofrece a CHEC S.A. E.S.P BIC suministrarle parte de la energía y potencia eléctrica requeridas para atender su mercado regulado, según sus necesidades, así como se relaciona en el Anexo cantidades de energía y precio de esta Oferta Mercantil, de acuerdo con la modalidad de Negocio Jurídico “Pague Lo Contratado”, según los meses, precios y las cantidades, indicadas en el Pliego de Condiciones de la Invitación Pública de Oferta Mercantil No. CRW380776 y según esta oferta y sus anexos. PARÁGRAFO 1: Se entiende por necesidades de energía y potencia eléctrica efectivamente requeridas por CHEC S.A. E.S.P BIC,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incluyendo sus pérdidas reales hasta el STN, TERCERA: Fecha de Iniciación del Suministro y Término de Duración. El suministro de la energía y potencia objeto de esta Oferta Mercantil se hará durante un plazo definido en el anexo 9, en la forma dispuesta en el Pliego de Condiciones y acorde a como se emita la orden de compra. CUARTA: Valor de la Oferta Mercantil. Para cualquier efecto, la presente oferta mercantil es de cuantía indeterminada, porque este depende de los consumos mensuales registrados y de los precios reales en la medida en que se ejecute el objeto del Negocio Jurídico y durante la vigencia del mismo. En consecuencia, el valor mensual del Negocio Jurídico es el que resulte de multiplicar el precio unitario para </w:t>
      </w:r>
      <w:r w:rsidRPr="002372C0">
        <w:rPr>
          <w:rFonts w:ascii="Arial" w:eastAsiaTheme="minorEastAsia" w:hAnsi="Arial" w:cs="Arial"/>
          <w:bCs/>
          <w:color w:val="000000"/>
          <w:kern w:val="0"/>
          <w:sz w:val="24"/>
          <w:szCs w:val="24"/>
          <w14:ligatures w14:val="none"/>
        </w:rPr>
        <w:lastRenderedPageBreak/>
        <w:t xml:space="preserve">cada hora, en pesos por kilovatio-hora, actualizado mensualmente, por la cantidad de energía asignada a esta Oferta Mercantil, expresada en kilovatios-hora del mercado regulado de CHEC S.A. E.S.P BIC mes a mes, QUINTA: Precio Monomio de Energía. El precio de la energía se fija de acuerdo con lo descrito en el anexo cantidades de energía y precio por kilovatio-hora, en pesos colombianos constantes de enero del 2026. Este precio incluye todos los cargos que son responsabilidad de EL OFERENTE, de acuerdo con las resoluciones vigentes a la fecha de cierre de la Invitación Pública de Oferta Mercantil No. CRW380776. Para la indexación mensual de los precios del Negocio Jurídico, expresados en $/kWh de enero del 2026, hasta el inicio de suministro y durante todo el período de suministro, se utilizará el resultante de aplicar las siguientes fórmulas: la indexación mensual del(los) precio(s) de la(s) oferta (s) aceptada(s) se hará con base en el Índice de Precios al Productor mensual serie Oferta Interna Provisional reportado por el DANE o quién haga sus veces y se actualizará bajo la siguiente formula: </w:t>
      </w:r>
    </w:p>
    <w:p w14:paraId="17FC9437"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Cambria Math" w:eastAsiaTheme="minorEastAsia" w:hAnsi="Cambria Math" w:cs="Cambria Math"/>
          <w:bCs/>
          <w:color w:val="000000"/>
          <w:kern w:val="0"/>
          <w:sz w:val="24"/>
          <w:szCs w:val="24"/>
          <w14:ligatures w14:val="none"/>
        </w:rPr>
        <w:t>𝑃</w:t>
      </w:r>
      <w:r w:rsidRPr="002372C0">
        <w:rPr>
          <w:rFonts w:ascii="Arial" w:eastAsiaTheme="minorEastAsia" w:hAnsi="Arial" w:cs="Arial"/>
          <w:bCs/>
          <w:color w:val="000000"/>
          <w:kern w:val="0"/>
          <w:sz w:val="24"/>
          <w:szCs w:val="24"/>
          <w14:ligatures w14:val="none"/>
        </w:rPr>
        <w:t xml:space="preserve"> </w:t>
      </w:r>
      <w:r w:rsidRPr="002372C0">
        <w:rPr>
          <w:rFonts w:ascii="Cambria Math" w:eastAsiaTheme="minorEastAsia" w:hAnsi="Cambria Math" w:cs="Cambria Math"/>
          <w:bCs/>
          <w:color w:val="000000"/>
          <w:kern w:val="0"/>
          <w:sz w:val="24"/>
          <w:szCs w:val="24"/>
          <w14:ligatures w14:val="none"/>
        </w:rPr>
        <w:t>𝑚𝑒𝑠</w:t>
      </w:r>
      <w:r w:rsidRPr="002372C0">
        <w:rPr>
          <w:rFonts w:ascii="Arial" w:eastAsiaTheme="minorEastAsia" w:hAnsi="Arial" w:cs="Arial"/>
          <w:bCs/>
          <w:color w:val="000000"/>
          <w:kern w:val="0"/>
          <w:sz w:val="24"/>
          <w:szCs w:val="24"/>
          <w14:ligatures w14:val="none"/>
        </w:rPr>
        <w:t xml:space="preserve"> </w:t>
      </w:r>
      <w:r w:rsidRPr="002372C0">
        <w:rPr>
          <w:rFonts w:ascii="Cambria Math" w:eastAsiaTheme="minorEastAsia" w:hAnsi="Cambria Math" w:cs="Cambria Math"/>
          <w:bCs/>
          <w:color w:val="000000"/>
          <w:kern w:val="0"/>
          <w:sz w:val="24"/>
          <w:szCs w:val="24"/>
          <w14:ligatures w14:val="none"/>
        </w:rPr>
        <w:t>𝑖</w:t>
      </w:r>
      <w:r w:rsidRPr="002372C0">
        <w:rPr>
          <w:rFonts w:ascii="Arial" w:eastAsiaTheme="minorEastAsia" w:hAnsi="Arial" w:cs="Arial"/>
          <w:bCs/>
          <w:color w:val="000000"/>
          <w:kern w:val="0"/>
          <w:sz w:val="24"/>
          <w:szCs w:val="24"/>
          <w14:ligatures w14:val="none"/>
        </w:rPr>
        <w:t xml:space="preserve"> = </w:t>
      </w:r>
      <w:r w:rsidRPr="002372C0">
        <w:rPr>
          <w:rFonts w:ascii="Cambria Math" w:eastAsiaTheme="minorEastAsia" w:hAnsi="Cambria Math" w:cs="Cambria Math"/>
          <w:bCs/>
          <w:color w:val="000000"/>
          <w:kern w:val="0"/>
          <w:sz w:val="24"/>
          <w:szCs w:val="24"/>
          <w14:ligatures w14:val="none"/>
        </w:rPr>
        <w:t>𝑃</w:t>
      </w:r>
      <w:r w:rsidRPr="002372C0">
        <w:rPr>
          <w:rFonts w:ascii="Arial" w:eastAsiaTheme="minorEastAsia" w:hAnsi="Arial" w:cs="Arial"/>
          <w:bCs/>
          <w:color w:val="000000"/>
          <w:kern w:val="0"/>
          <w:sz w:val="24"/>
          <w:szCs w:val="24"/>
          <w14:ligatures w14:val="none"/>
        </w:rPr>
        <w:t xml:space="preserve"> enero 26</w:t>
      </w:r>
      <w:r w:rsidRPr="002372C0">
        <w:rPr>
          <w:rFonts w:ascii="Cambria Math" w:eastAsiaTheme="minorEastAsia" w:hAnsi="Cambria Math" w:cs="Cambria Math"/>
          <w:bCs/>
          <w:color w:val="000000"/>
          <w:kern w:val="0"/>
          <w:sz w:val="24"/>
          <w:szCs w:val="24"/>
          <w14:ligatures w14:val="none"/>
        </w:rPr>
        <w:t>∗</w:t>
      </w:r>
      <w:r w:rsidRPr="002372C0">
        <w:rPr>
          <w:rFonts w:ascii="Arial" w:eastAsiaTheme="minorEastAsia" w:hAnsi="Arial" w:cs="Arial"/>
          <w:bCs/>
          <w:color w:val="000000"/>
          <w:kern w:val="0"/>
          <w:sz w:val="24"/>
          <w:szCs w:val="24"/>
          <w14:ligatures w14:val="none"/>
        </w:rPr>
        <w:t xml:space="preserve"> </w:t>
      </w:r>
      <w:r w:rsidRPr="002372C0">
        <w:rPr>
          <w:rFonts w:ascii="Cambria Math" w:eastAsiaTheme="minorEastAsia" w:hAnsi="Cambria Math" w:cs="Cambria Math"/>
          <w:bCs/>
          <w:color w:val="000000"/>
          <w:kern w:val="0"/>
          <w:sz w:val="24"/>
          <w:szCs w:val="24"/>
          <w14:ligatures w14:val="none"/>
        </w:rPr>
        <w:t>𝐼𝑃𝑃</w:t>
      </w:r>
      <w:r w:rsidRPr="002372C0">
        <w:rPr>
          <w:rFonts w:ascii="Arial" w:eastAsiaTheme="minorEastAsia" w:hAnsi="Arial" w:cs="Arial"/>
          <w:bCs/>
          <w:color w:val="000000"/>
          <w:kern w:val="0"/>
          <w:sz w:val="24"/>
          <w:szCs w:val="24"/>
          <w14:ligatures w14:val="none"/>
        </w:rPr>
        <w:t xml:space="preserve"> </w:t>
      </w:r>
      <w:r w:rsidRPr="002372C0">
        <w:rPr>
          <w:rFonts w:ascii="Cambria Math" w:eastAsiaTheme="minorEastAsia" w:hAnsi="Cambria Math" w:cs="Cambria Math"/>
          <w:bCs/>
          <w:color w:val="000000"/>
          <w:kern w:val="0"/>
          <w:sz w:val="24"/>
          <w:szCs w:val="24"/>
          <w14:ligatures w14:val="none"/>
        </w:rPr>
        <w:t>𝑚𝑒𝑠</w:t>
      </w:r>
      <w:r w:rsidRPr="002372C0">
        <w:rPr>
          <w:rFonts w:ascii="Arial" w:eastAsiaTheme="minorEastAsia" w:hAnsi="Arial" w:cs="Arial"/>
          <w:bCs/>
          <w:color w:val="000000"/>
          <w:kern w:val="0"/>
          <w:sz w:val="24"/>
          <w:szCs w:val="24"/>
          <w14:ligatures w14:val="none"/>
        </w:rPr>
        <w:t xml:space="preserve"> </w:t>
      </w:r>
      <w:r w:rsidRPr="002372C0">
        <w:rPr>
          <w:rFonts w:ascii="Cambria Math" w:eastAsiaTheme="minorEastAsia" w:hAnsi="Cambria Math" w:cs="Cambria Math"/>
          <w:bCs/>
          <w:color w:val="000000"/>
          <w:kern w:val="0"/>
          <w:sz w:val="24"/>
          <w:szCs w:val="24"/>
          <w14:ligatures w14:val="none"/>
        </w:rPr>
        <w:t>𝑖</w:t>
      </w:r>
      <w:r w:rsidRPr="002372C0">
        <w:rPr>
          <w:rFonts w:ascii="Arial" w:eastAsiaTheme="minorEastAsia" w:hAnsi="Arial" w:cs="Arial"/>
          <w:bCs/>
          <w:color w:val="000000"/>
          <w:kern w:val="0"/>
          <w:sz w:val="24"/>
          <w:szCs w:val="24"/>
          <w14:ligatures w14:val="none"/>
        </w:rPr>
        <w:t xml:space="preserve"> / </w:t>
      </w:r>
      <w:r w:rsidRPr="002372C0">
        <w:rPr>
          <w:rFonts w:ascii="Cambria Math" w:eastAsiaTheme="minorEastAsia" w:hAnsi="Cambria Math" w:cs="Cambria Math"/>
          <w:bCs/>
          <w:color w:val="000000"/>
          <w:kern w:val="0"/>
          <w:sz w:val="24"/>
          <w:szCs w:val="24"/>
          <w14:ligatures w14:val="none"/>
        </w:rPr>
        <w:t>𝐼𝑃𝑃</w:t>
      </w:r>
      <w:r w:rsidRPr="002372C0">
        <w:rPr>
          <w:rFonts w:ascii="Arial" w:eastAsiaTheme="minorEastAsia" w:hAnsi="Arial" w:cs="Arial"/>
          <w:bCs/>
          <w:color w:val="000000"/>
          <w:kern w:val="0"/>
          <w:sz w:val="24"/>
          <w:szCs w:val="24"/>
          <w14:ligatures w14:val="none"/>
        </w:rPr>
        <w:t xml:space="preserve"> enero 26 donde: </w:t>
      </w:r>
    </w:p>
    <w:p w14:paraId="4B69D4C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P mes i = Precio del mes consumo a facturar</w:t>
      </w:r>
    </w:p>
    <w:p w14:paraId="3614404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P enero 26 = Precio ofertado en pesos constantes de enero 26</w:t>
      </w:r>
    </w:p>
    <w:p w14:paraId="41F23B1B"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IPP mes i = Índice de Precios al Productor Oferta Interna Provisional del mes i</w:t>
      </w:r>
    </w:p>
    <w:p w14:paraId="04D262D0"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IPP enero 26 = Índice de Precios al Productor Serie Oferta Interna Provisional de enero 2026 certificado por la entidad competente. </w:t>
      </w:r>
    </w:p>
    <w:p w14:paraId="0C9934F7" w14:textId="245AE71A"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Los demás cargos se reajustarán cómo y cuándo así lo autorice la CREG. PARÁGRAFO 1: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 PARÁGRAFO 2: De acuerdo con la Circular 014 expedida por la CREG el 12 de septiembre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regulación con nuevas disposiciones, las cuales deberán adherirse a las condiciones pactadas en este Negocio Jurídico.  SEXTA: Puntos de Entrega. La entrega de la energía por parte de EL OFERENTE a CHEC S.A. E.S.P BIC se hará en los puntos actuales de frontera de éstas con el Sistema de Transmisión Nacional y en los nuevos puntos de frontera con el STN que surjan por el crecimiento del mercado de CHEC S.A. E.S.P BIC. </w:t>
      </w:r>
    </w:p>
    <w:p w14:paraId="6C91A000"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3C426459" w14:textId="348EE0BE"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lastRenderedPageBreak/>
        <w:t xml:space="preserve">SÉPTIMA: Cantidad Asignada. Los suministros objeto de esta Oferta Mercantil se efectuarán de acuerdo con la cantidad total asignada por CHEC S.A. E.S.P BIC a EL OFERENTE, expresada en kWh para cada hora. OCTAVA: Medio de Cobro y Forma de Pago. El valor de la energía será cobrado mensualmente por EL OFERENTE a CHEC S.A. E.S.P BIC de acuerdo con el precio aceptado y de conformidad con la Cláusula Quinta de la Oferta Mercantil, a más tardar 15 (quince) días calendario antes de la fecha de pago, considerando la última versión oficial del ASIC. El medio de cobro empleado por EL OFERENTE deberá ser dirigido a la dirección informada por CHEC S.A. E.S.P BIC, dando cumplimiento a lo dispuesto en el Decreto 1625 de 2016 del Ministerio de Hacienda y Crédito Público, acerca del modelo de facturación electrónica, EL OFERENTE deberá enviar las facturas (En archivo XML y PDF) al buzón de CHEC S.A. E.S.P BIC facturaelectronicachec@grupo-epm.com . Dicho medio de cobro además de los requisitos contemplados en el artículo 617 del Estatuto Tributario deberá contener como mínimo los siguientes conceptos: 1. Fecha de elaboración y fecha de vencimiento. 2. la cantidad total asignada en kWh para el mes. 3. El precio de la energía eléctrica correspondiente al mes de consumo con dos decimales. 4. Versión de la liquidación del ASIC utilizada para el cobro. 5. Valor total a cobrar en el medio de cobro empleado por EL OFERENTE como resultado de multiplicar la cantidad de energía eléctrica realmente entregada por el respectivo precio. 6. Las modificaciones o ajustes al medio de cobro deben tener la misma fecha de vencimiento consignada en el medio de cobro inicial empleado para el mes. CHEC S.A. E.S.P BIC cancelará la suma respectiva en pesos colombianos, una vez descontados los impuestos, gravámenes o contribuciones que haya lugar; el plazo de pago será de treinta (30) días calendario, contados a partir del último día del mes correspondiente de consumo, siempre y cuando dicho medio de cobro haya sido recibido por CHEC S.A. E.S.P BIC en forma cumplida. Para los casos en que el día (30) calendario, corresponda a un día no hábil el vencimiento del medio de cobro será el primer día hábil siguiente. PARÁGRAFO 1: Si CHEC S.A. E.S.P BIC no paga lo adeudado en el término establecido reconocerá intereses liquidados con la tasa máxima legal moratoria para pagos en mora, certificada por la Superintendencia Financiera para el mes respectivo. PARÁGRAFO 2: En caso de presentarse errores o discrepancias en la factura, respecto al valor que debe ser cancelado en uno o cualquiera de sus respectivos conceptos, CHEC S.A. E.S.P BIC estará obligado a cancelarle a EL OFERENTE el valor allí señalado, excluyendo la cantidad glosada y dispondrá de un término de 3 (tres) días hábiles, contados a partir de la fecha de su recibo por CHEC S.A. E.S.P BIC para manifestar por escrito a EL OFERENTE las razones de su inconformidad. Si CHEC S.A. E.S.P BIC acepta las razones expuestas por EL OFERENTE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señalado en </w:t>
      </w:r>
      <w:r w:rsidRPr="002372C0">
        <w:rPr>
          <w:rFonts w:ascii="Arial" w:eastAsiaTheme="minorEastAsia" w:hAnsi="Arial" w:cs="Arial"/>
          <w:bCs/>
          <w:color w:val="000000"/>
          <w:kern w:val="0"/>
          <w:sz w:val="24"/>
          <w:szCs w:val="24"/>
          <w14:ligatures w14:val="none"/>
        </w:rPr>
        <w:lastRenderedPageBreak/>
        <w:t xml:space="preserve">la Cláusula Décima Novena de la presente oferta. PARÁGRAFO 3: CHEC S.A. E.S.P BIC no realizará el pago de la respectiva factura, hasta tanto EL OFERENTE suministre paz y salvo de pago por aportes a la seguridad social y parafiscales, mediante certificado expedido por el Revisor Fiscal o en su defecto por el representante Legal, sin que esta situación genere el pago de intereses de ningún tipo a favor de EL OFERENTE. PARÁGRAFO 4: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CHEC S.A. E.S.P BIC, siempre que esto haya ocurrido con 15 (quince días) de anticipación. Las modificaciones o ajustes derivados de la aplicación de la indexación mensual de los precios de la Oferta Mercantil,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NOVENA: Sujeción de los Pagos a las Apropiaciones Presupuestales. Todos los pagos que CHEC S.A. E.S.P BIC se obliga a realizar se harán con recursos propios incluidos en los presupuestos de gastos de las respectivas vigencias fiscales. DÉCIMA: Registro de la Oferta Mercantil y de la Orden de Compra. El registro de la Oferta Mercantil y la Orden de Compra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 la presente Oferta Mercantil el Reglamento de Operación, especialmente los Códigos de Red y Comercial del SIN, así como el Estatuto de Racionamiento y los que los modifiquen o deroguen. PARÁGRAFO: a) CHEC S.A. E.S.P BIC se encargará del registro de la presente Oferta Mercantil y Orden de Compra ante el ASIC. Si por cualquier causa imputable a EL OFERENTE la Oferta Mercantil y Orden de Compra no se puede registrar o no se puede despachar durante su ejecución se hace efectiva la Garantía que ampara </w:t>
      </w:r>
      <w:r w:rsidRPr="002372C0">
        <w:rPr>
          <w:rFonts w:ascii="Arial" w:eastAsiaTheme="minorEastAsia" w:hAnsi="Arial" w:cs="Arial"/>
          <w:bCs/>
          <w:color w:val="000000"/>
          <w:kern w:val="0"/>
          <w:sz w:val="24"/>
          <w:szCs w:val="24"/>
          <w14:ligatures w14:val="none"/>
        </w:rPr>
        <w:lastRenderedPageBreak/>
        <w:t xml:space="preserve">este riesgo, sin perjuicio de las acciones legales conducentes al reconocimiento de perjuicios causados a las mismas y no cubiertos por el valor de la Garantía. b) Sin embargo, dado que aprobarlo digitalmente es una obligación de las partes,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157 de 2011, o aquellas que la modifiquen. DÉCIMA PRIMERA: Límite de Responsabilidad e Indemnizaciones. Cada una de las partes será responsable por los perjuicios que le ocasione a la otra, siempre y cuando provengan o sean consecuencia de culpa o negligencia de la parte contra la cual se alega. PARÁGRAFO: a) El OFERENTE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OFERENTE. DÉCIMA SEGUNDA: Estatuto de Racionamiento. EL OFERENTE y CHEC S.A. E.S.P BIC, en su condición de miembros integrantes del SIN, se someten a las condiciones del Estatuto de Racionamiento, de acuerdo con las Resoluciones CREG 217 de 1997, CREG 119 de 1998, CREG 190 de 2009 o aquellas que con posterioridad las modifiquen, adicionen o sustituyan. DÉCIMA TERCERA: Fuerza Mayor y Caso Fortuito. Las Partes quedarán exentas de toda responsabilidad por dilación u omisión en el cumplimiento de las obligaciones del Negocio Jurídico cuando dichos eventos ocurran por causa constitutiva de fuerza mayor o caso fortuito, debidamente comprobada, por fuera del control de la Parte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DÉCIMA CUARTA: Modificación y Terminación. Además de las causales previstas en la Ley 142 de 1994 y demás disposiciones complementarias sobre modificación y terminación del Negocio Jurídico,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del Negocio Jurídico; b) Incumplimiento de las obligaciones de una de las partes, caso en el cual la parte responsable del incumplimiento se le aplicará la cláusula Décima Quinta de la presente Oferta Mercantil. c) El no pago por parte de CHEC S.A. E.S.P BIC del valor equivalente a </w:t>
      </w:r>
      <w:r w:rsidRPr="002372C0">
        <w:rPr>
          <w:rFonts w:ascii="Arial" w:eastAsiaTheme="minorEastAsia" w:hAnsi="Arial" w:cs="Arial"/>
          <w:bCs/>
          <w:color w:val="000000"/>
          <w:kern w:val="0"/>
          <w:sz w:val="24"/>
          <w:szCs w:val="24"/>
          <w14:ligatures w14:val="none"/>
        </w:rPr>
        <w:lastRenderedPageBreak/>
        <w:t xml:space="preserve">2 (dos) cobros consecutivos de energía eléctrica suministrada; d) Liquidación forzosa de una de las partes, o embargo de sus bienes en forma tal que ponga en riesgo la continuidad el Negocio Jurídico; e) En el evento de que una de las partes intervinientes ceda o transfiera a un tercero el Negocio jurídico total o parcialmente, sin la autorización previa, expresa y escrita de la contraparte. f) El retiro del agente del mercado en las condiciones establecidas en la resolución CREG 156 de 2011 y las que la adicionen, las modifiquen o las complementen g) la no constitución o renovación de las garantías según lo establecido en la Oferta Mercantil; PARÁGRAFO 1. Sustitución contractual: En caso de transformación empresarial de una de las partes, la entidad nueva que llegare a absorber su patrimonio o aquella en la cual continúen radicados los derechos, acciones, bienes y obligaciones patrimoniales vinculados al Negocio Jurídico, ocupará o continuará ocupando la posición en el negocio jurídico de la parte reestructurada, sin necesidad del consentimiento de la otra y sin que la suscripción del otrosí que dé cuenta del cambio se considere esencial para que se efectúe la sustitución contractual con plenos efectos entre las partes y ante terceros. PARÁGRAFO 2. No exención de las obligaciones del Negocio Jurídico: La terminación anticipada del Negocio Jurídico no exime a ninguna de las partes del cumplimiento de las obligaciones previamente contraídas en desarrollo de este. En el evento de ocurrencia de una de las causales de terminación anticipada, la parte afectada lo informará inmediatamente al ASIC para que éste deje de considerar el Negocio Jurídico en la comercialización del mercado mayorista. PARÁGRAFO 3. Revisión: 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 la jurisdicción competente. PARÁGRAFO 4: Terminación Unilateral del Negocio Jurídico, 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o en dos periodos de pago;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w:t>
      </w:r>
      <w:r w:rsidRPr="002372C0">
        <w:rPr>
          <w:rFonts w:ascii="Arial" w:eastAsiaTheme="minorEastAsia" w:hAnsi="Arial" w:cs="Arial"/>
          <w:bCs/>
          <w:color w:val="000000"/>
          <w:kern w:val="0"/>
          <w:sz w:val="24"/>
          <w:szCs w:val="24"/>
          <w14:ligatures w14:val="none"/>
        </w:rPr>
        <w:lastRenderedPageBreak/>
        <w:t xml:space="preserve">Cláusula Quinta Precio Monomio de Energía, para lo cual la parte afectada con el incumplimiento podrá informar al ASIC la terminación anormal del Negocio Jurídico según lo dispuesto en la resolución CREG 038 de 2010 o aquella que la modifique o sustituya. En el caso de que la parte incumplida no cancele dicha suma la otra parte podrá hacer efectiva la garantía que ampara el cumplimiento del Negocio Jurídico, si lo anterior no es posible acudirá a la vía judicial, para lo cual la Oferta Mercantil presta mérito ejecutivo. PARÁGRAFO 5 CROM: Las partes se comprometen a cumplir con lo establecido en la Resoluciones CREG 156 de 2012; CREG 134 de 2013 y las demás que las modifiquen, sustituyan y/o reemplacen y en caso de incumplimiento se ejecutará lo establecido en el literal b) de esta cláusula y se podrán hacer efectivas las garantías de cumplimiento del Negocio Jurídico. PARÁGRAFO 6: Causales especiales de terminación anticipada del Negocio Jurídico. 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reputacionalmente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w:t>
      </w:r>
      <w:r w:rsidRPr="002372C0">
        <w:rPr>
          <w:rFonts w:ascii="Arial" w:eastAsiaTheme="minorEastAsia" w:hAnsi="Arial" w:cs="Arial"/>
          <w:bCs/>
          <w:color w:val="000000"/>
          <w:kern w:val="0"/>
          <w:sz w:val="24"/>
          <w:szCs w:val="24"/>
          <w14:ligatures w14:val="none"/>
        </w:rPr>
        <w:lastRenderedPageBreak/>
        <w:t xml:space="preserve">a favor de personas relacionadas con las mismas. f) Cuando se presenten yerros, inconsistencias, discrepancias o falsedades en la documentación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Negocio jurídico sea objeto de una medida de extinción de dominio y sobre el cual la Dirección Nacional de Estupefacientes o la entidad que haga sus veces no tenga el control o no le haya sido nombrado un depositario directo. i) Cuando en la ejecución del Negocio Jurídico, una de las PARTES sea sancionado por la autoridad competente por conductas violatorias de las normas sobre protección de la competencia que exponga a la otra PARTE a un riesgo reputacional o legal. j) Cuando EL OFERENTE incumpla el Código de conducta para Proveedores y Proponentes de CHEC S.A. E.S.P BIC.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Negocio Jurídico, lo cual se comunicará inmediatamente y se procederá a la liquidación o al cierre de cuentas del mismo, según corresponda, en el estado en que se encuentre, quedando obligada LA PARTE que incurrió en la causal a indemnizar los perjuicios causados a la otra PARTE. DÉCIMA QUINTA: Cesión de derechos económicos. Los derechos económicos del presente Negocio Jurídico podrán ser cedidos irrevocablemente a una fiducia de administración y fuente de pago definida por el OFERENTE. DÉCIMA SEXTA: Cláusula Penal. 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Invitación Pública de ofertas N°CRW380776 Quinta Precio Monomio de Energía, que corresponde a una tasación anticipada de los perjuicios derivados de dicho incumplimiento, para lo cual se aclara que esta suma será considerada como pago parcial pero no definitivo de los perjuicios causados a </w:t>
      </w:r>
      <w:r w:rsidRPr="002372C0">
        <w:rPr>
          <w:rFonts w:ascii="Arial" w:eastAsiaTheme="minorEastAsia" w:hAnsi="Arial" w:cs="Arial"/>
          <w:bCs/>
          <w:color w:val="000000"/>
          <w:kern w:val="0"/>
          <w:sz w:val="24"/>
          <w:szCs w:val="24"/>
          <w14:ligatures w14:val="none"/>
        </w:rPr>
        <w:lastRenderedPageBreak/>
        <w:t xml:space="preserve">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CHEC S.A. E.S.P BIC, el valor de la cláusula penal se tomará directamente de cualquier suma que se adeude al OFERENTE, de ser posible, o se cobrará directamente a EL OFERENTE, o se hará efectiva la garantía de cumplimiento del Negocio Jurídico; si lo anterior no es posible, se cobrará por la vía judicial. DÉCIMA SEPTIMA: Cesión del Negocio Jurídico. 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PARÁGRAFO 1: En el evento de presentarse fusión, escisión, transformación o cualquiera otra reorganización de EL OFERENTE, CHEC S.A. E.S.P BIC acepta anticipadamente que EL OFERENTE ceda todos sus derechos y obligaciones derivadas de la presente relación jurídica surgida de la oferta, a la persona que la sustituya, siempre y cuando el cesionario sea de las mismas calidades de EL OFERENTE. PARÁGRAFO 2: Será requisito de aceptación de la cesión que el cesionario tenga calidades tales que ofrezca suficiente garantía o respaldo del cumplimiento de las obligaciones a cargo del cedente. DÉCIMA OCTAVA: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del mismo, las partes se obligan a realizar los ajustes y pagos que fuesen del caso, de acuerdo con lo establecido en el Parágrafo 4 de la Cláusula Octava. DÉCIMA NOVENA: Renuncia a Requerimiento. Para el cobro de cualquier suma de dinero que se adeude en virtud del Negocio Jurídico, no será necesario constituir en mora o requerir el pago de esta, derechos a los cuales renuncian las partes. VIGESIMA: Ley Aplicable y Controversia. Para todas las diferencias que surjan entre las partes relacionadas con la ejecución del Negocio Jurídico,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podrán acudir al medio judicial pertinente en Colombia. VIGÉSIMA PRIMERA: Inhabilidades e Incompatibilidades. Las partes declaran que no se encuentran incursas para la celebración y ejecución del Negocio Jurídico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w:t>
      </w:r>
      <w:r w:rsidRPr="002372C0">
        <w:rPr>
          <w:rFonts w:ascii="Arial" w:eastAsiaTheme="minorEastAsia" w:hAnsi="Arial" w:cs="Arial"/>
          <w:bCs/>
          <w:color w:val="000000"/>
          <w:kern w:val="0"/>
          <w:sz w:val="24"/>
          <w:szCs w:val="24"/>
          <w14:ligatures w14:val="none"/>
        </w:rPr>
        <w:lastRenderedPageBreak/>
        <w:t xml:space="preserve">calidad, para el cabal desarrollo del giro ordinario de sus negocios. VIGÉSIMA SEGUNDA:  Régimen Jurídico. El Negocio Jurídico se regirá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VIGÉSIMA TERCERA: Domicilio, Comunicaciones y Notificaciones. Se establece como domicilio del Negocio Jurídico el municipio de Manizales, Todas las comunicaciones y notificaciones a que haya lugar en razón de la presente Oferta Mercantil serán remitidas directamente a los delegados por CHEC S.A. E.S.P. BIC en las condiciones y a los representantes legales del OFERENTE o a su designado a continuación, información que debe ser actualizada en el momento en el que cambie y que será responsabilidad del OFERENTE. </w:t>
      </w:r>
    </w:p>
    <w:p w14:paraId="47E1CFB0"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Nombre:</w:t>
      </w:r>
    </w:p>
    <w:p w14:paraId="3CE97B9D"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Correo electrónico:</w:t>
      </w:r>
    </w:p>
    <w:p w14:paraId="6438065B"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Cargo:</w:t>
      </w:r>
    </w:p>
    <w:p w14:paraId="208DAB66" w14:textId="2BCB51C6"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VIGÉSIMA CUARTA: Impuestos, Gravámenes o Deducciones. Cuando con posterioridad a la fecha de entrega de las ofertas el IVA o los impuestos al consumo tengan alguna modificación por aumento, disminución o eliminación, así como la creación de nuevos impuestos al consumo, ello será tenido en cuenta por CHEC S.A. E.S.P BIC para hacer los ajustes que sean del caso y reconocerle a EL OFERENTE los mayores costos o hacerle las deducciones. CHEC S.A. E.S.P BIC deducirá todos los impuestos y retenciones a que haya lugar en el momento de hacer el pago, de acuerdo con las disposiciones legales y vigentes, sin dar lugar a reclamaciones por parte de EL OFERENTE. VIGÉSIMA QUINTA: Gastos Legales. EL OFERENTE deberá pagar todos los gastos legales que la normatividad haya establecido a su cargo, para la realización del suministro aceptado y dar cumplimiento a las leyes, ordenanzas, acuerdos, reglamentos y resoluciones aplicables que existan sobre el particular o que se decreten durante el desarrollo del Negocio Jurídico. VIGÉSIMA SEXTA: Perfeccionamiento y Ejecución de la Oferta Mercantil. De acuerdo con el Código de Comercio, una vez entregada la orden de compra surgen las obligaciones de la relación jurídica para las partes, y queda claro que el registro operará como requisito para su control, inscripción y ejecución ante el ASIC. Y solo habrá lugar a ello si EL OFERENTE ha cumplido con todas las obligaciones propias de esta etapa. </w:t>
      </w:r>
    </w:p>
    <w:p w14:paraId="75F521BF"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4451E5F5" w14:textId="30F358FB"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lastRenderedPageBreak/>
        <w:t xml:space="preserve">VIGÉSIMA SEPTIMA: Documentos de la Relación Jurídica surgida de la Oferta. Hacen parte del presente Negocio Jurídico, entendiéndose que todos son complementarios, y que cualquier estipulación que aparezca en uno de ellos regirá para todos: El Pliego de Condiciones y sus Adendas, la minuta de la  oferta mercantil con los anexos de cantidades y precios, las actas de modificaciones bilaterales que sean acordadas por escrito entre las partes en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la minuta de la Oferta Mercantil, Orden de Compra y sus modificaciones, el Pliego de Condiciones y sus aclaraciones.VIGÉSIMA OCTAVA: Cumplimiento de normatividad anticorrupción. 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ni en ninguna de las listas vinculantes para Colombia. Los instrumentos y mecanismos con los que cuentan LAS PARTES serán honrados y cumplidos por la CONTRAPARTE. PARÁGRAFO 1: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(ii) Ley Canadiense de Corrupción de Servidores Públicos Extranjeros (CFPOA por su nombre en inglés), y (iii) Ley británica Anti Soborno (UKBA por su nombre en inglés), consideradas como buenas prácticas a las cuales CHEC S.A. E.S.P BIC no está obligada; y en especial lo establecido en las herramientas de prevención de fraude, corrupción y soborno que tiene CHEC S.A. E.S.P BIC,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https://www.CHEC.com.co/Home/Transparencia . LAS PARTES acuerdan y se obligan a que durante la celebración y ejecución del negocio jurídico ni ellas, ni sus </w:t>
      </w:r>
      <w:r w:rsidRPr="002372C0">
        <w:rPr>
          <w:rFonts w:ascii="Arial" w:eastAsiaTheme="minorEastAsia" w:hAnsi="Arial" w:cs="Arial"/>
          <w:bCs/>
          <w:color w:val="000000"/>
          <w:kern w:val="0"/>
          <w:sz w:val="24"/>
          <w:szCs w:val="24"/>
          <w14:ligatures w14:val="none"/>
        </w:rPr>
        <w:lastRenderedPageBreak/>
        <w:t>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PARAGRAFO 2: El incumplimiento a esta estipulación 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 PARAGRAFO 3: Declaración de origen de los bienes y recursos de LAS PARTES: Con la presentación de la oferta, se entienden presentadas bajo la gravedad de juramento la siguiente declaración:</w:t>
      </w:r>
    </w:p>
    <w:p w14:paraId="14EFBE40"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4C625359"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73245CB7"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los recursos o bienes objeto del presente del Negocio Jurídico, no provienen de ninguna actividad ilícita de las contempladas en el Código Penal colombiano o en cualquier norma que lo modifique, adicione o sustituya.</w:t>
      </w:r>
    </w:p>
    <w:p w14:paraId="5505BB16"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en la ejecución de la presente relación jurídica surgida de la oferta, LAS PARTES se abstendrán de tener vínculos con terceros que se conozca por cualquier medio estén vinculados a actividades de lavado de activos o financiación del terrorismo, fraude o corrupción.</w:t>
      </w:r>
    </w:p>
    <w:p w14:paraId="57E7165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57507E77"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lastRenderedPageBreak/>
        <w:t>•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CHEC S.A. E.S.P BIC. facultado para efectuar las verificaciones que considere pertinentes y podrá dar por terminada cualquier relación jurídica surgida de la oferta si verifica que alguna de tales personas figura en dichas listas.</w:t>
      </w:r>
    </w:p>
    <w:p w14:paraId="46106EED"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verificada, que se demuestre con respecto a tales personas que impacte legal y reputacionalmente al OFERENTE ADJUDICADO, exponiendo a CHEC S.A. E.S.P BIC a un riesgo de carácter legal o reputacional.</w:t>
      </w:r>
    </w:p>
    <w:p w14:paraId="55D08FA3" w14:textId="6E07007F"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 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VIGÉSIMA NOVENA: Garantía De Cumplimiento: EL OFERENTE constituirá a favor de CHEC S.A. E.S.P BIC una Garantía de cumplimiento que cumpla con las condiciones definidas en el numeral 6.3 de la “INVITACIÓN PÚBLICA DE OFERTA MERCANTIL CP-CHCC2026-001 – CRW380776”. La garantía de cumplimiento se expedirá en la cuantía que se especifique en la orden de compra y deberá entregarse dentro de los 4 días hábiles siguientes a la fecha de firma de cada relación jurídica surgida de la oferta. El pago de la garantía de cumplimiento correrá por cuenta de EL OFERENTE. PARÁGRAFO: CHEC S.A. E.S.P BIC constituirá y entregará al OFERENTE ADJUDICADO, un pagaré en blanco con carta de instrucciones, con el objeto de garantizar el pago de cada una de las obligaciones que se deriven del presente negocio jurídico a favor del OFERENTE dentro de los 4 días hábiles siguientes a la fecha de entrega de la Orden de Compra. El pagaré y la carta de </w:t>
      </w:r>
      <w:r w:rsidRPr="002372C0">
        <w:rPr>
          <w:rFonts w:ascii="Arial" w:eastAsiaTheme="minorEastAsia" w:hAnsi="Arial" w:cs="Arial"/>
          <w:bCs/>
          <w:color w:val="000000"/>
          <w:kern w:val="0"/>
          <w:sz w:val="24"/>
          <w:szCs w:val="24"/>
          <w14:ligatures w14:val="none"/>
        </w:rPr>
        <w:lastRenderedPageBreak/>
        <w:t>instrucciones será devuelto a CHEC S.A. E.S.P BIC inmediatamente después de finalizar el negocio jurídico, siempre y cuando CHEC S.A. E.S.P BIC esté a paz y salvo por todas las obligaciones relacionadas con la Invitación Pública Oferta Mercantil CP-CHCC2026-001 – CRW380776.</w:t>
      </w:r>
      <w:r w:rsidR="00931AE1">
        <w:rPr>
          <w:rFonts w:ascii="Arial" w:eastAsiaTheme="minorEastAsia" w:hAnsi="Arial" w:cs="Arial"/>
          <w:bCs/>
          <w:color w:val="000000"/>
          <w:kern w:val="0"/>
          <w:sz w:val="24"/>
          <w:szCs w:val="24"/>
          <w14:ligatures w14:val="none"/>
        </w:rPr>
        <w:t xml:space="preserve"> </w:t>
      </w:r>
      <w:r w:rsidRPr="002372C0">
        <w:rPr>
          <w:rFonts w:ascii="Arial" w:eastAsiaTheme="minorEastAsia" w:hAnsi="Arial" w:cs="Arial"/>
          <w:bCs/>
          <w:color w:val="000000"/>
          <w:kern w:val="0"/>
          <w:sz w:val="24"/>
          <w:szCs w:val="24"/>
          <w14:ligatures w14:val="none"/>
        </w:rPr>
        <w:t xml:space="preserve">TRIGÉSIMA: Estipulaciones Adicionales: Suministro de información financiera: CHEC S.A. E.S.P BIC se obliga a entregar al OFERENTE y mantener actualizada cada vez que se requiera, la información que este último le solicite, la cual estará referida a estados financieros certificados, Certificado de Existencia y Representación Legal, o cualquier otra que se requiera para establecer la capacidad de pago. TRIGÉSIMA PRIMERA: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OFERENTE como de CHEC S.A. E.S.P BIC en las mencionadas bases de datos. La permanencia de la información que se refleje dependerá de la forma y oportunidad en que cada una de las partes cumpla sus obligaciones, conforme a los plazos establecidos legal y jurisprudencialmente. TRIGÉSIMA SEGUNDA: Protección Del Medio Ambiente: LAS PARTES se comprometen a adoptar las medidas adecuadas para garantizar el cumplimiento de las obligaciones medioambientales requeridas por la legislación vigente y que guarden relación con la Oferta Mercantil o estén relacionadas con la ejecución de su Objeto. </w:t>
      </w:r>
    </w:p>
    <w:p w14:paraId="52B5A1B0" w14:textId="43F0546C"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Cumplimiento De Normas Sobre Control Al Lavado De Activos Y Financiación Del Terrorismo: LAS PARTES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 TRIGÉSIMA TERCERA: </w:t>
      </w:r>
      <w:r w:rsidRPr="002372C0">
        <w:rPr>
          <w:rFonts w:ascii="Arial" w:eastAsiaTheme="minorEastAsia" w:hAnsi="Arial" w:cs="Arial"/>
          <w:bCs/>
          <w:color w:val="000000"/>
          <w:kern w:val="0"/>
          <w:sz w:val="24"/>
          <w:szCs w:val="24"/>
          <w14:ligatures w14:val="none"/>
        </w:rPr>
        <w:tab/>
        <w:t xml:space="preserve">Validez de la oferta. Mantendremos válida nuestra oferta por el término de cuarenta y cinco (45) días calendario contados a partir de la fecha de entrega de la oferta y los requisitos habilitantes, y procederemos a ampliar su validez y la vigencia de Garantía de Seriedad si se diere el supuesto contemplado en la INVITACIÓN PÚBLICA DE OFERTA MERCANTIL CP-CHCC2026-001 – CRW380776. </w:t>
      </w:r>
    </w:p>
    <w:p w14:paraId="1D08C5D7"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1BC0AB37" w14:textId="62DDC923"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lastRenderedPageBreak/>
        <w:t>TRIGÉSIMA CUARTA: Manifestamos que no nos hallamos incursos en ninguna de las causales de inhabilidad e incompatibilidad consignadas en la ley y que de sobrevenir alguna de ellas cederemos el negocio jurídico, previa autorización escrita de CHEC S.A. E.S.P BIC y que de no ser posible la cesión, renunciaremos a continuar su ejecución. TRIGÉSIMA QUINTA: Declaramos que la información contenida en nuestra oferta es exacta y veraz, y que aportaremos las pruebas que CHEC S.A. E.S.P BIC considere necesarias para verificar su exactitud y en caso de no ser ello satisfactorio para CHEC S.A. E.S.P BIC conforme a las exigencias de los documentos de esta contratación, aceptamos que nuestra oferta sea eliminada. TRIGÉSIMA SEXTA: Confidencialidad: las partes garantizan la confidencialidad de la información mientras la misma no sea pública.</w:t>
      </w:r>
    </w:p>
    <w:p w14:paraId="49751135"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ab/>
      </w:r>
    </w:p>
    <w:p w14:paraId="2B21E8E2"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¿Somos Auto retenedor de Impuesto de Industria y Comercio en su Municipio?</w:t>
      </w:r>
    </w:p>
    <w:p w14:paraId="4EEFFCA5"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67BC17E9"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Sí_____________ No____________</w:t>
      </w:r>
    </w:p>
    <w:p w14:paraId="35EE3AE9"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0F56BA6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Municipio. </w:t>
      </w:r>
    </w:p>
    <w:p w14:paraId="0D393538"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_______________________</w:t>
      </w:r>
    </w:p>
    <w:p w14:paraId="66BB633C"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3DDACFFC"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0E69D290"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0CBF93E4"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Atentamente,</w:t>
      </w:r>
    </w:p>
    <w:p w14:paraId="2C99406F"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0E49BB6B"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[Firma del OFERENTE persona natural o del representante legal si es persona jurídica]</w:t>
      </w:r>
    </w:p>
    <w:p w14:paraId="3DA7AA39"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643A28F1"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26419665"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_______________________________________</w:t>
      </w:r>
      <w:r w:rsidRPr="002372C0">
        <w:rPr>
          <w:rFonts w:ascii="Arial" w:eastAsiaTheme="minorEastAsia" w:hAnsi="Arial" w:cs="Arial"/>
          <w:bCs/>
          <w:color w:val="000000"/>
          <w:kern w:val="0"/>
          <w:sz w:val="24"/>
          <w:szCs w:val="24"/>
          <w14:ligatures w14:val="none"/>
        </w:rPr>
        <w:tab/>
      </w:r>
    </w:p>
    <w:p w14:paraId="3D33694C"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785B62D2"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[Nombre del OFERENTE persona natural o del representante legal si es persona jurídica]</w:t>
      </w:r>
    </w:p>
    <w:p w14:paraId="64EB06CD"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C.C. </w:t>
      </w:r>
    </w:p>
    <w:p w14:paraId="2770D1B2"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2E2970BB"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06D69253"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INFORMACIÓN DEL OFERENTE ADJUDICADO: </w:t>
      </w:r>
    </w:p>
    <w:p w14:paraId="70B82C34" w14:textId="77777777" w:rsidR="002372C0" w:rsidRPr="002372C0" w:rsidRDefault="002372C0" w:rsidP="002372C0">
      <w:pPr>
        <w:jc w:val="both"/>
        <w:rPr>
          <w:rFonts w:ascii="Arial" w:eastAsiaTheme="minorEastAsia" w:hAnsi="Arial" w:cs="Arial"/>
          <w:bCs/>
          <w:color w:val="000000"/>
          <w:kern w:val="0"/>
          <w:sz w:val="24"/>
          <w:szCs w:val="24"/>
          <w14:ligatures w14:val="none"/>
        </w:rPr>
      </w:pPr>
    </w:p>
    <w:p w14:paraId="6484AD9E"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Nombre del OFERENTE:</w:t>
      </w:r>
    </w:p>
    <w:p w14:paraId="51056170"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NIT:</w:t>
      </w:r>
    </w:p>
    <w:p w14:paraId="5677D3C3"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Nombre de Representante legal:</w:t>
      </w:r>
    </w:p>
    <w:p w14:paraId="4E03C405"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Cédula de Ciudadanía:                            Fecha de Expedición:</w:t>
      </w:r>
    </w:p>
    <w:p w14:paraId="0183C80A"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Dirección:</w:t>
      </w:r>
    </w:p>
    <w:p w14:paraId="379DE167"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 xml:space="preserve">Teléfono:                                                  </w:t>
      </w:r>
    </w:p>
    <w:p w14:paraId="3EDD07FB" w14:textId="77777777" w:rsidR="002372C0" w:rsidRPr="002372C0" w:rsidRDefault="002372C0" w:rsidP="002372C0">
      <w:pPr>
        <w:jc w:val="both"/>
        <w:rPr>
          <w:rFonts w:ascii="Arial" w:eastAsiaTheme="minorEastAsia" w:hAnsi="Arial" w:cs="Arial"/>
          <w:bCs/>
          <w:color w:val="000000"/>
          <w:kern w:val="0"/>
          <w:sz w:val="24"/>
          <w:szCs w:val="24"/>
          <w14:ligatures w14:val="none"/>
        </w:rPr>
      </w:pPr>
      <w:r w:rsidRPr="002372C0">
        <w:rPr>
          <w:rFonts w:ascii="Arial" w:eastAsiaTheme="minorEastAsia" w:hAnsi="Arial" w:cs="Arial"/>
          <w:bCs/>
          <w:color w:val="000000"/>
          <w:kern w:val="0"/>
          <w:sz w:val="24"/>
          <w:szCs w:val="24"/>
          <w14:ligatures w14:val="none"/>
        </w:rPr>
        <w:t>Correo electrónico:</w:t>
      </w:r>
    </w:p>
    <w:p w14:paraId="49543A09" w14:textId="40880C23" w:rsidR="00EB6158" w:rsidRPr="002372C0" w:rsidRDefault="002372C0" w:rsidP="002372C0">
      <w:pPr>
        <w:jc w:val="both"/>
      </w:pPr>
      <w:r w:rsidRPr="002372C0">
        <w:rPr>
          <w:rFonts w:ascii="Arial" w:eastAsiaTheme="minorEastAsia" w:hAnsi="Arial" w:cs="Arial"/>
          <w:bCs/>
          <w:color w:val="000000"/>
          <w:kern w:val="0"/>
          <w:sz w:val="24"/>
          <w:szCs w:val="24"/>
          <w14:ligatures w14:val="none"/>
        </w:rPr>
        <w:t>Ciudad:</w:t>
      </w:r>
    </w:p>
    <w:sectPr w:rsidR="00EB6158" w:rsidRPr="002372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40"/>
    <w:rsid w:val="00003395"/>
    <w:rsid w:val="000659AC"/>
    <w:rsid w:val="00143F62"/>
    <w:rsid w:val="00161C3F"/>
    <w:rsid w:val="001B00BE"/>
    <w:rsid w:val="002372C0"/>
    <w:rsid w:val="00297909"/>
    <w:rsid w:val="00322415"/>
    <w:rsid w:val="00452452"/>
    <w:rsid w:val="00490E53"/>
    <w:rsid w:val="005321C0"/>
    <w:rsid w:val="005D0C1A"/>
    <w:rsid w:val="005D6A4B"/>
    <w:rsid w:val="005D6CE9"/>
    <w:rsid w:val="005E1BCE"/>
    <w:rsid w:val="005E68D6"/>
    <w:rsid w:val="006017FC"/>
    <w:rsid w:val="00614AB0"/>
    <w:rsid w:val="00626809"/>
    <w:rsid w:val="00817AFF"/>
    <w:rsid w:val="008B13A3"/>
    <w:rsid w:val="009115D1"/>
    <w:rsid w:val="00931AE1"/>
    <w:rsid w:val="00AA3344"/>
    <w:rsid w:val="00AB3137"/>
    <w:rsid w:val="00B36A0B"/>
    <w:rsid w:val="00B668BF"/>
    <w:rsid w:val="00CA777B"/>
    <w:rsid w:val="00CF3A40"/>
    <w:rsid w:val="00D30462"/>
    <w:rsid w:val="00D41E00"/>
    <w:rsid w:val="00DB3A89"/>
    <w:rsid w:val="00E348DB"/>
    <w:rsid w:val="00E84355"/>
    <w:rsid w:val="00EB6158"/>
    <w:rsid w:val="00ED28F2"/>
    <w:rsid w:val="00FA4F39"/>
    <w:rsid w:val="00FA7D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BACA"/>
  <w15:chartTrackingRefBased/>
  <w15:docId w15:val="{FA44A3B7-841D-4403-B2FC-4F068274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3A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F3A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F3A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A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A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A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A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A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A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A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A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A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A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A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A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A40"/>
    <w:rPr>
      <w:rFonts w:eastAsiaTheme="majorEastAsia" w:cstheme="majorBidi"/>
      <w:color w:val="272727" w:themeColor="text1" w:themeTint="D8"/>
    </w:rPr>
  </w:style>
  <w:style w:type="paragraph" w:styleId="Ttulo">
    <w:name w:val="Title"/>
    <w:basedOn w:val="Normal"/>
    <w:next w:val="Normal"/>
    <w:link w:val="TtuloCar"/>
    <w:uiPriority w:val="10"/>
    <w:qFormat/>
    <w:rsid w:val="00CF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A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A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A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A40"/>
    <w:pPr>
      <w:spacing w:before="160"/>
      <w:jc w:val="center"/>
    </w:pPr>
    <w:rPr>
      <w:i/>
      <w:iCs/>
      <w:color w:val="404040" w:themeColor="text1" w:themeTint="BF"/>
    </w:rPr>
  </w:style>
  <w:style w:type="character" w:customStyle="1" w:styleId="CitaCar">
    <w:name w:val="Cita Car"/>
    <w:basedOn w:val="Fuentedeprrafopredeter"/>
    <w:link w:val="Cita"/>
    <w:uiPriority w:val="29"/>
    <w:rsid w:val="00CF3A40"/>
    <w:rPr>
      <w:i/>
      <w:iCs/>
      <w:color w:val="404040" w:themeColor="text1" w:themeTint="BF"/>
    </w:rPr>
  </w:style>
  <w:style w:type="paragraph" w:styleId="Prrafodelista">
    <w:name w:val="List Paragraph"/>
    <w:basedOn w:val="Normal"/>
    <w:uiPriority w:val="34"/>
    <w:qFormat/>
    <w:rsid w:val="00CF3A40"/>
    <w:pPr>
      <w:ind w:left="720"/>
      <w:contextualSpacing/>
    </w:pPr>
  </w:style>
  <w:style w:type="character" w:styleId="nfasisintenso">
    <w:name w:val="Intense Emphasis"/>
    <w:basedOn w:val="Fuentedeprrafopredeter"/>
    <w:uiPriority w:val="21"/>
    <w:qFormat/>
    <w:rsid w:val="00CF3A40"/>
    <w:rPr>
      <w:i/>
      <w:iCs/>
      <w:color w:val="0F4761" w:themeColor="accent1" w:themeShade="BF"/>
    </w:rPr>
  </w:style>
  <w:style w:type="paragraph" w:styleId="Citadestacada">
    <w:name w:val="Intense Quote"/>
    <w:basedOn w:val="Normal"/>
    <w:next w:val="Normal"/>
    <w:link w:val="CitadestacadaCar"/>
    <w:uiPriority w:val="30"/>
    <w:qFormat/>
    <w:rsid w:val="00CF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A40"/>
    <w:rPr>
      <w:i/>
      <w:iCs/>
      <w:color w:val="0F4761" w:themeColor="accent1" w:themeShade="BF"/>
    </w:rPr>
  </w:style>
  <w:style w:type="character" w:styleId="Referenciaintensa">
    <w:name w:val="Intense Reference"/>
    <w:basedOn w:val="Fuentedeprrafopredeter"/>
    <w:uiPriority w:val="32"/>
    <w:qFormat/>
    <w:rsid w:val="00CF3A40"/>
    <w:rPr>
      <w:b/>
      <w:bCs/>
      <w:smallCaps/>
      <w:color w:val="0F4761" w:themeColor="accent1" w:themeShade="BF"/>
      <w:spacing w:val="5"/>
    </w:rPr>
  </w:style>
  <w:style w:type="paragraph" w:customStyle="1" w:styleId="Default">
    <w:name w:val="Default"/>
    <w:rsid w:val="00CF3A40"/>
    <w:pPr>
      <w:autoSpaceDE w:val="0"/>
      <w:autoSpaceDN w:val="0"/>
      <w:adjustRightInd w:val="0"/>
      <w:spacing w:after="0" w:line="240" w:lineRule="auto"/>
    </w:pPr>
    <w:rPr>
      <w:rFonts w:ascii="Trebuchet MS" w:eastAsiaTheme="minorEastAsia" w:hAnsi="Trebuchet MS" w:cs="Trebuchet MS"/>
      <w:color w:val="000000"/>
      <w:kern w:val="0"/>
      <w:sz w:val="24"/>
      <w:szCs w:val="24"/>
      <w14:ligatures w14:val="none"/>
    </w:rPr>
  </w:style>
  <w:style w:type="character" w:styleId="Hipervnculo">
    <w:name w:val="Hyperlink"/>
    <w:basedOn w:val="Fuentedeprrafopredeter"/>
    <w:uiPriority w:val="99"/>
    <w:unhideWhenUsed/>
    <w:rsid w:val="00CF3A40"/>
    <w:rPr>
      <w:color w:val="467886" w:themeColor="hyperlink"/>
      <w:u w:val="single"/>
    </w:rPr>
  </w:style>
  <w:style w:type="paragraph" w:styleId="Textoindependiente">
    <w:name w:val="Body Text"/>
    <w:basedOn w:val="Normal"/>
    <w:link w:val="TextoindependienteCar"/>
    <w:uiPriority w:val="1"/>
    <w:rsid w:val="00CF3A40"/>
    <w:pPr>
      <w:widowControl w:val="0"/>
      <w:autoSpaceDE w:val="0"/>
      <w:autoSpaceDN w:val="0"/>
      <w:adjustRightInd w:val="0"/>
      <w:spacing w:after="0" w:line="240" w:lineRule="auto"/>
    </w:pPr>
    <w:rPr>
      <w:rFonts w:ascii="Arial" w:eastAsiaTheme="minorEastAsia" w:hAnsi="Arial" w:cs="Arial"/>
      <w:kern w:val="0"/>
      <w:lang w:eastAsia="es-CO"/>
      <w14:ligatures w14:val="none"/>
    </w:rPr>
  </w:style>
  <w:style w:type="character" w:customStyle="1" w:styleId="TextoindependienteCar">
    <w:name w:val="Texto independiente Car"/>
    <w:basedOn w:val="Fuentedeprrafopredeter"/>
    <w:link w:val="Textoindependiente"/>
    <w:uiPriority w:val="1"/>
    <w:rsid w:val="00CF3A40"/>
    <w:rPr>
      <w:rFonts w:ascii="Arial" w:eastAsiaTheme="minorEastAsia" w:hAnsi="Arial" w:cs="Arial"/>
      <w:kern w:val="0"/>
      <w:lang w:eastAsia="es-CO"/>
      <w14:ligatures w14:val="none"/>
    </w:rPr>
  </w:style>
  <w:style w:type="paragraph" w:styleId="Revisin">
    <w:name w:val="Revision"/>
    <w:hidden/>
    <w:uiPriority w:val="99"/>
    <w:semiHidden/>
    <w:rsid w:val="00ED28F2"/>
    <w:pPr>
      <w:spacing w:after="0" w:line="240" w:lineRule="auto"/>
    </w:pPr>
  </w:style>
  <w:style w:type="character" w:styleId="Refdecomentario">
    <w:name w:val="annotation reference"/>
    <w:basedOn w:val="Fuentedeprrafopredeter"/>
    <w:uiPriority w:val="99"/>
    <w:semiHidden/>
    <w:unhideWhenUsed/>
    <w:rsid w:val="00ED28F2"/>
    <w:rPr>
      <w:sz w:val="16"/>
      <w:szCs w:val="16"/>
    </w:rPr>
  </w:style>
  <w:style w:type="paragraph" w:styleId="Textocomentario">
    <w:name w:val="annotation text"/>
    <w:basedOn w:val="Normal"/>
    <w:link w:val="TextocomentarioCar"/>
    <w:uiPriority w:val="99"/>
    <w:unhideWhenUsed/>
    <w:rsid w:val="00ED28F2"/>
    <w:pPr>
      <w:spacing w:line="240" w:lineRule="auto"/>
    </w:pPr>
    <w:rPr>
      <w:sz w:val="20"/>
      <w:szCs w:val="20"/>
    </w:rPr>
  </w:style>
  <w:style w:type="character" w:customStyle="1" w:styleId="TextocomentarioCar">
    <w:name w:val="Texto comentario Car"/>
    <w:basedOn w:val="Fuentedeprrafopredeter"/>
    <w:link w:val="Textocomentario"/>
    <w:uiPriority w:val="99"/>
    <w:rsid w:val="00ED28F2"/>
    <w:rPr>
      <w:sz w:val="20"/>
      <w:szCs w:val="20"/>
    </w:rPr>
  </w:style>
  <w:style w:type="paragraph" w:styleId="Asuntodelcomentario">
    <w:name w:val="annotation subject"/>
    <w:basedOn w:val="Textocomentario"/>
    <w:next w:val="Textocomentario"/>
    <w:link w:val="AsuntodelcomentarioCar"/>
    <w:uiPriority w:val="99"/>
    <w:semiHidden/>
    <w:unhideWhenUsed/>
    <w:rsid w:val="00ED28F2"/>
    <w:rPr>
      <w:b/>
      <w:bCs/>
    </w:rPr>
  </w:style>
  <w:style w:type="character" w:customStyle="1" w:styleId="AsuntodelcomentarioCar">
    <w:name w:val="Asunto del comentario Car"/>
    <w:basedOn w:val="TextocomentarioCar"/>
    <w:link w:val="Asuntodelcomentario"/>
    <w:uiPriority w:val="99"/>
    <w:semiHidden/>
    <w:rsid w:val="00ED28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661B-E0D4-4386-80F3-BC288063BA79}">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17</Pages>
  <Words>7778</Words>
  <Characters>41228</Characters>
  <Application>Microsoft Office Word</Application>
  <DocSecurity>0</DocSecurity>
  <Lines>1030</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ELENA QUICENO PEREZ</dc:creator>
  <cp:keywords/>
  <dc:description/>
  <cp:lastModifiedBy>LUZ ELENA QUICENO PEREZ</cp:lastModifiedBy>
  <cp:revision>14</cp:revision>
  <dcterms:created xsi:type="dcterms:W3CDTF">2025-10-08T14:22:00Z</dcterms:created>
  <dcterms:modified xsi:type="dcterms:W3CDTF">2026-03-20T15:15:00Z</dcterms:modified>
</cp:coreProperties>
</file>