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C4EA13" w14:textId="77777777" w:rsidR="001E68F6" w:rsidRDefault="00000000">
      <w:pPr>
        <w:spacing w:after="60"/>
      </w:pPr>
      <w:r>
        <w:rPr>
          <w:rFonts w:ascii="Arial" w:eastAsia="Arial" w:hAnsi="Arial" w:cs="Arial"/>
          <w:b/>
          <w:bCs/>
          <w:color w:val="0E2F47"/>
          <w:sz w:val="28"/>
          <w:szCs w:val="28"/>
        </w:rPr>
        <w:t>COMMUN-ET, LLC</w:t>
      </w:r>
    </w:p>
    <w:p w14:paraId="1054816B" w14:textId="77777777" w:rsidR="001E68F6" w:rsidRDefault="00000000">
      <w:pPr>
        <w:spacing w:after="240"/>
      </w:pPr>
      <w:r>
        <w:rPr>
          <w:rFonts w:ascii="Arial" w:eastAsia="Arial" w:hAnsi="Arial" w:cs="Arial"/>
          <w:color w:val="E8882F"/>
          <w:spacing w:val="30"/>
          <w:sz w:val="16"/>
          <w:szCs w:val="16"/>
        </w:rPr>
        <w:t>PERMITTING · UTILITY COORDINATION · RESULTS</w:t>
      </w:r>
    </w:p>
    <w:p w14:paraId="14F5A749" w14:textId="77777777" w:rsidR="001E68F6" w:rsidRDefault="00000000">
      <w:pPr>
        <w:spacing w:after="80"/>
      </w:pPr>
      <w:proofErr w:type="spellStart"/>
      <w:r>
        <w:rPr>
          <w:rFonts w:ascii="Arial" w:eastAsia="Arial" w:hAnsi="Arial" w:cs="Arial"/>
          <w:b/>
          <w:bCs/>
          <w:color w:val="E8882F"/>
          <w:sz w:val="24"/>
          <w:szCs w:val="24"/>
        </w:rPr>
        <w:t>PermitPilot</w:t>
      </w:r>
      <w:proofErr w:type="spellEnd"/>
      <w:r>
        <w:rPr>
          <w:rFonts w:ascii="Arial" w:eastAsia="Arial" w:hAnsi="Arial" w:cs="Arial"/>
          <w:b/>
          <w:bCs/>
          <w:color w:val="E8882F"/>
          <w:sz w:val="24"/>
          <w:szCs w:val="24"/>
        </w:rPr>
        <w:t xml:space="preserve"> Requirement D2.2</w:t>
      </w:r>
    </w:p>
    <w:p w14:paraId="2F1F64F3" w14:textId="77777777" w:rsidR="001E68F6" w:rsidRDefault="00000000">
      <w:pPr>
        <w:spacing w:after="80"/>
      </w:pPr>
      <w:r>
        <w:rPr>
          <w:rFonts w:ascii="Arial" w:eastAsia="Arial" w:hAnsi="Arial" w:cs="Arial"/>
          <w:b/>
          <w:bCs/>
          <w:color w:val="0E2F47"/>
          <w:sz w:val="44"/>
          <w:szCs w:val="44"/>
        </w:rPr>
        <w:t>Utility Service Territory Resolution: Authoritative Source Map</w:t>
      </w:r>
    </w:p>
    <w:p w14:paraId="6270986A" w14:textId="77777777" w:rsidR="001E68F6" w:rsidRDefault="00000000">
      <w:pPr>
        <w:spacing w:after="60"/>
      </w:pPr>
      <w:r>
        <w:rPr>
          <w:rFonts w:ascii="Arial" w:eastAsia="Arial" w:hAnsi="Arial" w:cs="Arial"/>
          <w:color w:val="333F48"/>
          <w:sz w:val="22"/>
          <w:szCs w:val="22"/>
        </w:rPr>
        <w:t>Data sources and resolution architecture for automatic utility selection across the thirteen operating utilities in the East Coast Utility Coverage Analysis</w:t>
      </w:r>
    </w:p>
    <w:p w14:paraId="1494080E" w14:textId="77777777" w:rsidR="001E68F6" w:rsidRDefault="00000000">
      <w:pPr>
        <w:pBdr>
          <w:bottom w:val="single" w:sz="12" w:space="0" w:color="E8882F"/>
        </w:pBdr>
        <w:spacing w:after="300"/>
      </w:pPr>
      <w:r>
        <w:rPr>
          <w:rFonts w:ascii="Arial" w:eastAsia="Arial" w:hAnsi="Arial" w:cs="Arial"/>
          <w:color w:val="5B6770"/>
          <w:sz w:val="18"/>
          <w:szCs w:val="18"/>
        </w:rPr>
        <w:t>Prepared by Ian Swain, Managing Partner and Charlotte Ducksworth, Partner · July 15, 2026 · Internal Engineering Reference, Confidential · Companion to the East Coast Utility Coverage Analysis</w:t>
      </w:r>
    </w:p>
    <w:p w14:paraId="0E05C9FF" w14:textId="77777777" w:rsidR="001E68F6" w:rsidRDefault="00000000">
      <w:pPr>
        <w:spacing w:before="320" w:after="140"/>
      </w:pPr>
      <w:r>
        <w:rPr>
          <w:rFonts w:ascii="Arial" w:eastAsia="Arial" w:hAnsi="Arial" w:cs="Arial"/>
          <w:b/>
          <w:bCs/>
          <w:color w:val="1A5276"/>
          <w:sz w:val="28"/>
          <w:szCs w:val="28"/>
        </w:rPr>
        <w:t>The Requirement</w:t>
      </w:r>
    </w:p>
    <w:p w14:paraId="0F22E500" w14:textId="77777777" w:rsidR="001E68F6" w:rsidRDefault="00000000">
      <w:pPr>
        <w:spacing w:after="140"/>
      </w:pPr>
      <w:r>
        <w:rPr>
          <w:rFonts w:ascii="Arial" w:eastAsia="Arial" w:hAnsi="Arial" w:cs="Arial"/>
          <w:color w:val="333F48"/>
        </w:rPr>
        <w:t>D2.2 states: the platform needs the authoritative mapping that determines which utility serves a given project location (ZIP, county, GIS, or another official service territory source). This is required for automatic utility selection and cannot be safely inferred.</w:t>
      </w:r>
    </w:p>
    <w:p w14:paraId="48B7EEAA" w14:textId="77777777" w:rsidR="001E68F6" w:rsidRDefault="00000000">
      <w:pPr>
        <w:spacing w:after="140"/>
      </w:pPr>
      <w:r>
        <w:rPr>
          <w:rFonts w:ascii="Arial" w:eastAsia="Arial" w:hAnsi="Arial" w:cs="Arial"/>
          <w:color w:val="333F48"/>
        </w:rPr>
        <w:t>The requirement's caution is correct, and this document takes it seriously. The headline finding: no authoritative nationwide ZIP-to-utility dataset exists, because ZIP codes are postal delivery routes rather than geographic polygons, and utility territories routinely split them. The authoritative unit is the territory polygon, with county as the official fallback. ZIP can serve as a fast lookup layer, but only as a derived cache built from the polygon data, never as the source of truth.</w:t>
      </w:r>
    </w:p>
    <w:p w14:paraId="534BDC67" w14:textId="77777777" w:rsidR="001E68F6" w:rsidRDefault="00000000">
      <w:pPr>
        <w:spacing w:before="320" w:after="140"/>
      </w:pPr>
      <w:r>
        <w:rPr>
          <w:rFonts w:ascii="Arial" w:eastAsia="Arial" w:hAnsi="Arial" w:cs="Arial"/>
          <w:b/>
          <w:bCs/>
          <w:color w:val="1A5276"/>
          <w:sz w:val="28"/>
          <w:szCs w:val="28"/>
        </w:rPr>
        <w:t>Why ZIP Alone Is Unsafe as a Primary Key</w:t>
      </w:r>
    </w:p>
    <w:p w14:paraId="205343CC" w14:textId="77777777" w:rsidR="001E68F6" w:rsidRDefault="00000000">
      <w:pPr>
        <w:spacing w:after="140"/>
      </w:pPr>
      <w:r>
        <w:rPr>
          <w:rFonts w:ascii="Arial" w:eastAsia="Arial" w:hAnsi="Arial" w:cs="Arial"/>
          <w:color w:val="333F48"/>
        </w:rPr>
        <w:t>Four structural problems, each of which produces wrong utility selection if ZIP is treated as authoritative. First, ZIP codes are postal routes without official boundaries; the Census Bureau's ZCTA polygons approximate them but do not match exactly. Second, territory lines split ZIP codes: a single ZIP on a territory boundary can contain PEPCO and BGE customers, or Duke and a cooperative. Third, EIA's own guidance confirms that more than one utility can have distribution equipment in the same county, and the effect is stronger at ZIP granularity. Fourth, PO Box and single-building ZIPs have no meaningful area at all. A wrong automatic selection sends an application to the wrong utility, which is precisely the failure mode the platform exists to eliminate.</w:t>
      </w:r>
    </w:p>
    <w:p w14:paraId="355C9D8F" w14:textId="77777777" w:rsidR="001E68F6" w:rsidRDefault="00000000">
      <w:pPr>
        <w:spacing w:before="320" w:after="140"/>
      </w:pPr>
      <w:r>
        <w:rPr>
          <w:rFonts w:ascii="Arial" w:eastAsia="Arial" w:hAnsi="Arial" w:cs="Arial"/>
          <w:b/>
          <w:bCs/>
          <w:color w:val="1A5276"/>
          <w:sz w:val="28"/>
          <w:szCs w:val="28"/>
        </w:rPr>
        <w:t>Authoritative National Sources</w:t>
      </w:r>
    </w:p>
    <w:p w14:paraId="3D15567C" w14:textId="77777777" w:rsidR="001E68F6" w:rsidRDefault="00000000">
      <w:pPr>
        <w:spacing w:after="140"/>
      </w:pPr>
      <w:r>
        <w:rPr>
          <w:rFonts w:ascii="Arial" w:eastAsia="Arial" w:hAnsi="Arial" w:cs="Arial"/>
          <w:color w:val="333F48"/>
        </w:rPr>
        <w:t>Verified July 15, 2026. These are the sources of record the platform should ingest.</w:t>
      </w:r>
    </w:p>
    <w:tbl>
      <w:tblPr>
        <w:tblW w:w="9360" w:type="dxa"/>
        <w:tblBorders>
          <w:top w:val="single" w:sz="4" w:space="0" w:color="D5DEE5"/>
          <w:left w:val="single" w:sz="4" w:space="0" w:color="D5DEE5"/>
          <w:bottom w:val="single" w:sz="4" w:space="0" w:color="D5DEE5"/>
          <w:right w:val="single" w:sz="4" w:space="0" w:color="D5DEE5"/>
          <w:insideH w:val="single" w:sz="4" w:space="0" w:color="D5DEE5"/>
          <w:insideV w:val="single" w:sz="4" w:space="0" w:color="D5DEE5"/>
        </w:tblBorders>
        <w:tblCellMar>
          <w:left w:w="10" w:type="dxa"/>
          <w:right w:w="10" w:type="dxa"/>
        </w:tblCellMar>
        <w:tblLook w:val="0000" w:firstRow="0" w:lastRow="0" w:firstColumn="0" w:lastColumn="0" w:noHBand="0" w:noVBand="0"/>
      </w:tblPr>
      <w:tblGrid>
        <w:gridCol w:w="2700"/>
        <w:gridCol w:w="3100"/>
        <w:gridCol w:w="3560"/>
      </w:tblGrid>
      <w:tr w:rsidR="001E68F6" w14:paraId="783F5999" w14:textId="77777777">
        <w:tblPrEx>
          <w:tblCellMar>
            <w:top w:w="0" w:type="dxa"/>
            <w:bottom w:w="0" w:type="dxa"/>
          </w:tblCellMar>
        </w:tblPrEx>
        <w:trPr>
          <w:tblHeader/>
        </w:trPr>
        <w:tc>
          <w:tcPr>
            <w:tcW w:w="2700" w:type="dxa"/>
            <w:shd w:val="clear" w:color="auto" w:fill="1A5276"/>
            <w:tcMar>
              <w:top w:w="90" w:type="dxa"/>
              <w:left w:w="130" w:type="dxa"/>
              <w:bottom w:w="90" w:type="dxa"/>
              <w:right w:w="130" w:type="dxa"/>
            </w:tcMar>
          </w:tcPr>
          <w:p w14:paraId="76A39D39" w14:textId="77777777" w:rsidR="001E68F6" w:rsidRDefault="00000000">
            <w:r>
              <w:rPr>
                <w:rFonts w:ascii="Arial" w:eastAsia="Arial" w:hAnsi="Arial" w:cs="Arial"/>
                <w:b/>
                <w:bCs/>
                <w:color w:val="FFFFFF"/>
              </w:rPr>
              <w:t>Source</w:t>
            </w:r>
          </w:p>
        </w:tc>
        <w:tc>
          <w:tcPr>
            <w:tcW w:w="3100" w:type="dxa"/>
            <w:shd w:val="clear" w:color="auto" w:fill="1A5276"/>
            <w:tcMar>
              <w:top w:w="90" w:type="dxa"/>
              <w:left w:w="130" w:type="dxa"/>
              <w:bottom w:w="90" w:type="dxa"/>
              <w:right w:w="130" w:type="dxa"/>
            </w:tcMar>
          </w:tcPr>
          <w:p w14:paraId="7DD38D2A" w14:textId="77777777" w:rsidR="001E68F6" w:rsidRDefault="00000000">
            <w:r>
              <w:rPr>
                <w:rFonts w:ascii="Arial" w:eastAsia="Arial" w:hAnsi="Arial" w:cs="Arial"/>
                <w:b/>
                <w:bCs/>
                <w:color w:val="FFFFFF"/>
              </w:rPr>
              <w:t>What it provides</w:t>
            </w:r>
          </w:p>
        </w:tc>
        <w:tc>
          <w:tcPr>
            <w:tcW w:w="3560" w:type="dxa"/>
            <w:shd w:val="clear" w:color="auto" w:fill="1A5276"/>
            <w:tcMar>
              <w:top w:w="90" w:type="dxa"/>
              <w:left w:w="130" w:type="dxa"/>
              <w:bottom w:w="90" w:type="dxa"/>
              <w:right w:w="130" w:type="dxa"/>
            </w:tcMar>
          </w:tcPr>
          <w:p w14:paraId="37DB6F08" w14:textId="77777777" w:rsidR="001E68F6" w:rsidRDefault="00000000">
            <w:r>
              <w:rPr>
                <w:rFonts w:ascii="Arial" w:eastAsia="Arial" w:hAnsi="Arial" w:cs="Arial"/>
                <w:b/>
                <w:bCs/>
                <w:color w:val="FFFFFF"/>
              </w:rPr>
              <w:t>Access and notes</w:t>
            </w:r>
          </w:p>
        </w:tc>
      </w:tr>
      <w:tr w:rsidR="001E68F6" w14:paraId="6B72565F" w14:textId="77777777">
        <w:tblPrEx>
          <w:tblCellMar>
            <w:top w:w="0" w:type="dxa"/>
            <w:bottom w:w="0" w:type="dxa"/>
          </w:tblCellMar>
        </w:tblPrEx>
        <w:trPr>
          <w:cantSplit/>
        </w:trPr>
        <w:tc>
          <w:tcPr>
            <w:tcW w:w="2700" w:type="dxa"/>
            <w:shd w:val="clear" w:color="auto" w:fill="FFFFFF"/>
            <w:tcMar>
              <w:top w:w="80" w:type="dxa"/>
              <w:left w:w="130" w:type="dxa"/>
              <w:bottom w:w="80" w:type="dxa"/>
              <w:right w:w="130" w:type="dxa"/>
            </w:tcMar>
          </w:tcPr>
          <w:p w14:paraId="315D3EAA" w14:textId="77777777" w:rsidR="001E68F6" w:rsidRDefault="00000000">
            <w:r>
              <w:rPr>
                <w:rFonts w:ascii="Arial" w:eastAsia="Arial" w:hAnsi="Arial" w:cs="Arial"/>
                <w:b/>
                <w:bCs/>
                <w:color w:val="0E2F47"/>
              </w:rPr>
              <w:t>EIA US Energy Atlas: Electric Retail Service Territories (GIS layer)</w:t>
            </w:r>
          </w:p>
        </w:tc>
        <w:tc>
          <w:tcPr>
            <w:tcW w:w="3100" w:type="dxa"/>
            <w:shd w:val="clear" w:color="auto" w:fill="FFFFFF"/>
            <w:tcMar>
              <w:top w:w="80" w:type="dxa"/>
              <w:left w:w="130" w:type="dxa"/>
              <w:bottom w:w="80" w:type="dxa"/>
              <w:right w:w="130" w:type="dxa"/>
            </w:tcMar>
          </w:tcPr>
          <w:p w14:paraId="6139D1CD" w14:textId="77777777" w:rsidR="001E68F6" w:rsidRDefault="00000000">
            <w:r>
              <w:rPr>
                <w:rFonts w:ascii="Arial" w:eastAsia="Arial" w:hAnsi="Arial" w:cs="Arial"/>
                <w:color w:val="333F48"/>
              </w:rPr>
              <w:t>Polygon geometries for electric retail service territories nationwide. The primary source for point-in-polygon resolution.</w:t>
            </w:r>
          </w:p>
        </w:tc>
        <w:tc>
          <w:tcPr>
            <w:tcW w:w="3560" w:type="dxa"/>
            <w:shd w:val="clear" w:color="auto" w:fill="FFFFFF"/>
            <w:tcMar>
              <w:top w:w="80" w:type="dxa"/>
              <w:left w:w="130" w:type="dxa"/>
              <w:bottom w:w="80" w:type="dxa"/>
              <w:right w:w="130" w:type="dxa"/>
            </w:tcMar>
          </w:tcPr>
          <w:p w14:paraId="0232A1B5" w14:textId="77777777" w:rsidR="001E68F6" w:rsidRDefault="00000000">
            <w:r>
              <w:rPr>
                <w:rFonts w:ascii="Arial" w:eastAsia="Arial" w:hAnsi="Arial" w:cs="Arial"/>
                <w:color w:val="333F48"/>
              </w:rPr>
              <w:t xml:space="preserve">atlas.eia.gov; downloadable as Shapefile, </w:t>
            </w:r>
            <w:proofErr w:type="spellStart"/>
            <w:r>
              <w:rPr>
                <w:rFonts w:ascii="Arial" w:eastAsia="Arial" w:hAnsi="Arial" w:cs="Arial"/>
                <w:color w:val="333F48"/>
              </w:rPr>
              <w:t>GeoJSON</w:t>
            </w:r>
            <w:proofErr w:type="spellEnd"/>
            <w:r>
              <w:rPr>
                <w:rFonts w:ascii="Arial" w:eastAsia="Arial" w:hAnsi="Arial" w:cs="Arial"/>
                <w:color w:val="333F48"/>
              </w:rPr>
              <w:t>, KML, CSV; live API endpoints (</w:t>
            </w:r>
            <w:proofErr w:type="spellStart"/>
            <w:r>
              <w:rPr>
                <w:rFonts w:ascii="Arial" w:eastAsia="Arial" w:hAnsi="Arial" w:cs="Arial"/>
                <w:color w:val="333F48"/>
              </w:rPr>
              <w:t>GeoServices</w:t>
            </w:r>
            <w:proofErr w:type="spellEnd"/>
            <w:r>
              <w:rPr>
                <w:rFonts w:ascii="Arial" w:eastAsia="Arial" w:hAnsi="Arial" w:cs="Arial"/>
                <w:color w:val="333F48"/>
              </w:rPr>
              <w:t>, WMS, WFS). Note: the HIFLD Open repository that historically hosted this layer was deactivated August 26, 2025; treat the EIA Energy Atlas as the current home and re-verify the endpoint at ingestion time.</w:t>
            </w:r>
          </w:p>
        </w:tc>
      </w:tr>
      <w:tr w:rsidR="001E68F6" w14:paraId="737F1AAA" w14:textId="77777777">
        <w:tblPrEx>
          <w:tblCellMar>
            <w:top w:w="0" w:type="dxa"/>
            <w:bottom w:w="0" w:type="dxa"/>
          </w:tblCellMar>
        </w:tblPrEx>
        <w:trPr>
          <w:cantSplit/>
        </w:trPr>
        <w:tc>
          <w:tcPr>
            <w:tcW w:w="2700" w:type="dxa"/>
            <w:shd w:val="clear" w:color="auto" w:fill="F2F6F9"/>
            <w:tcMar>
              <w:top w:w="80" w:type="dxa"/>
              <w:left w:w="130" w:type="dxa"/>
              <w:bottom w:w="80" w:type="dxa"/>
              <w:right w:w="130" w:type="dxa"/>
            </w:tcMar>
          </w:tcPr>
          <w:p w14:paraId="1C686E81" w14:textId="77777777" w:rsidR="001E68F6" w:rsidRDefault="00000000">
            <w:r>
              <w:rPr>
                <w:rFonts w:ascii="Arial" w:eastAsia="Arial" w:hAnsi="Arial" w:cs="Arial"/>
                <w:b/>
                <w:bCs/>
                <w:color w:val="0E2F47"/>
              </w:rPr>
              <w:lastRenderedPageBreak/>
              <w:t>EIA Form 861: Service Territory file</w:t>
            </w:r>
          </w:p>
        </w:tc>
        <w:tc>
          <w:tcPr>
            <w:tcW w:w="3100" w:type="dxa"/>
            <w:shd w:val="clear" w:color="auto" w:fill="F2F6F9"/>
            <w:tcMar>
              <w:top w:w="80" w:type="dxa"/>
              <w:left w:w="130" w:type="dxa"/>
              <w:bottom w:w="80" w:type="dxa"/>
              <w:right w:w="130" w:type="dxa"/>
            </w:tcMar>
          </w:tcPr>
          <w:p w14:paraId="6D641C28" w14:textId="77777777" w:rsidR="001E68F6" w:rsidRDefault="00000000">
            <w:r>
              <w:rPr>
                <w:rFonts w:ascii="Arial" w:eastAsia="Arial" w:hAnsi="Arial" w:cs="Arial"/>
                <w:color w:val="333F48"/>
              </w:rPr>
              <w:t>Annual county-by-state list of every county where each utility has distribution equipment. The official tabular fallback and cross-check for the GIS layer.</w:t>
            </w:r>
          </w:p>
        </w:tc>
        <w:tc>
          <w:tcPr>
            <w:tcW w:w="3560" w:type="dxa"/>
            <w:shd w:val="clear" w:color="auto" w:fill="F2F6F9"/>
            <w:tcMar>
              <w:top w:w="80" w:type="dxa"/>
              <w:left w:w="130" w:type="dxa"/>
              <w:bottom w:w="80" w:type="dxa"/>
              <w:right w:w="130" w:type="dxa"/>
            </w:tcMar>
          </w:tcPr>
          <w:p w14:paraId="34992DCE" w14:textId="77777777" w:rsidR="001E68F6" w:rsidRDefault="00000000">
            <w:r>
              <w:rPr>
                <w:rFonts w:ascii="Arial" w:eastAsia="Arial" w:hAnsi="Arial" w:cs="Arial"/>
                <w:color w:val="333F48"/>
              </w:rPr>
              <w:t>eia.gov/electricity/data/eia861 (annual detailed data files). Census of all US electric utilities. Counties can list multiple utilities; the file flags exactly the ambiguity the resolver must handle.</w:t>
            </w:r>
          </w:p>
        </w:tc>
      </w:tr>
      <w:tr w:rsidR="001E68F6" w14:paraId="6AB62C15" w14:textId="77777777">
        <w:tblPrEx>
          <w:tblCellMar>
            <w:top w:w="0" w:type="dxa"/>
            <w:bottom w:w="0" w:type="dxa"/>
          </w:tblCellMar>
        </w:tblPrEx>
        <w:trPr>
          <w:cantSplit/>
        </w:trPr>
        <w:tc>
          <w:tcPr>
            <w:tcW w:w="2700" w:type="dxa"/>
            <w:shd w:val="clear" w:color="auto" w:fill="FFFFFF"/>
            <w:tcMar>
              <w:top w:w="80" w:type="dxa"/>
              <w:left w:w="130" w:type="dxa"/>
              <w:bottom w:w="80" w:type="dxa"/>
              <w:right w:w="130" w:type="dxa"/>
            </w:tcMar>
          </w:tcPr>
          <w:p w14:paraId="6E2EDBFF" w14:textId="77777777" w:rsidR="001E68F6" w:rsidRDefault="00000000">
            <w:r>
              <w:rPr>
                <w:rFonts w:ascii="Arial" w:eastAsia="Arial" w:hAnsi="Arial" w:cs="Arial"/>
                <w:b/>
                <w:bCs/>
                <w:color w:val="0E2F47"/>
              </w:rPr>
              <w:t>PUDL (Catalyst Cooperative) derived service territories</w:t>
            </w:r>
          </w:p>
        </w:tc>
        <w:tc>
          <w:tcPr>
            <w:tcW w:w="3100" w:type="dxa"/>
            <w:shd w:val="clear" w:color="auto" w:fill="FFFFFF"/>
            <w:tcMar>
              <w:top w:w="80" w:type="dxa"/>
              <w:left w:w="130" w:type="dxa"/>
              <w:bottom w:w="80" w:type="dxa"/>
              <w:right w:w="130" w:type="dxa"/>
            </w:tcMar>
          </w:tcPr>
          <w:p w14:paraId="16BAC997" w14:textId="77777777" w:rsidR="001E68F6" w:rsidRDefault="00000000">
            <w:r>
              <w:rPr>
                <w:rFonts w:ascii="Arial" w:eastAsia="Arial" w:hAnsi="Arial" w:cs="Arial"/>
                <w:color w:val="333F48"/>
              </w:rPr>
              <w:t xml:space="preserve">Engineering-ready </w:t>
            </w:r>
            <w:proofErr w:type="spellStart"/>
            <w:r>
              <w:rPr>
                <w:rFonts w:ascii="Arial" w:eastAsia="Arial" w:hAnsi="Arial" w:cs="Arial"/>
                <w:color w:val="333F48"/>
              </w:rPr>
              <w:t>GeoParquet</w:t>
            </w:r>
            <w:proofErr w:type="spellEnd"/>
            <w:r>
              <w:rPr>
                <w:rFonts w:ascii="Arial" w:eastAsia="Arial" w:hAnsi="Arial" w:cs="Arial"/>
                <w:color w:val="333F48"/>
              </w:rPr>
              <w:t xml:space="preserve"> of utility service territories built from EIA-861 counties joined to </w:t>
            </w:r>
            <w:proofErr w:type="gramStart"/>
            <w:r>
              <w:rPr>
                <w:rFonts w:ascii="Arial" w:eastAsia="Arial" w:hAnsi="Arial" w:cs="Arial"/>
                <w:color w:val="333F48"/>
              </w:rPr>
              <w:t>Census county</w:t>
            </w:r>
            <w:proofErr w:type="gramEnd"/>
            <w:r>
              <w:rPr>
                <w:rFonts w:ascii="Arial" w:eastAsia="Arial" w:hAnsi="Arial" w:cs="Arial"/>
                <w:color w:val="333F48"/>
              </w:rPr>
              <w:t xml:space="preserve"> geometries, with historical time series.</w:t>
            </w:r>
          </w:p>
        </w:tc>
        <w:tc>
          <w:tcPr>
            <w:tcW w:w="3560" w:type="dxa"/>
            <w:shd w:val="clear" w:color="auto" w:fill="FFFFFF"/>
            <w:tcMar>
              <w:top w:w="80" w:type="dxa"/>
              <w:left w:w="130" w:type="dxa"/>
              <w:bottom w:w="80" w:type="dxa"/>
              <w:right w:w="130" w:type="dxa"/>
            </w:tcMar>
          </w:tcPr>
          <w:p w14:paraId="16D45464" w14:textId="77777777" w:rsidR="001E68F6" w:rsidRDefault="00000000">
            <w:r>
              <w:rPr>
                <w:rFonts w:ascii="Arial" w:eastAsia="Arial" w:hAnsi="Arial" w:cs="Arial"/>
                <w:color w:val="333F48"/>
              </w:rPr>
              <w:t>catalyst.coop / PUDL project. Open data; useful as a processed alternative to building the county-geometry join in house. Derived, not primary; document provenance if used.</w:t>
            </w:r>
          </w:p>
        </w:tc>
      </w:tr>
      <w:tr w:rsidR="001E68F6" w14:paraId="13F5D4F3" w14:textId="77777777">
        <w:tblPrEx>
          <w:tblCellMar>
            <w:top w:w="0" w:type="dxa"/>
            <w:bottom w:w="0" w:type="dxa"/>
          </w:tblCellMar>
        </w:tblPrEx>
        <w:trPr>
          <w:cantSplit/>
        </w:trPr>
        <w:tc>
          <w:tcPr>
            <w:tcW w:w="2700" w:type="dxa"/>
            <w:shd w:val="clear" w:color="auto" w:fill="F2F6F9"/>
            <w:tcMar>
              <w:top w:w="80" w:type="dxa"/>
              <w:left w:w="130" w:type="dxa"/>
              <w:bottom w:w="80" w:type="dxa"/>
              <w:right w:w="130" w:type="dxa"/>
            </w:tcMar>
          </w:tcPr>
          <w:p w14:paraId="69C624D3" w14:textId="77777777" w:rsidR="001E68F6" w:rsidRDefault="00000000">
            <w:r>
              <w:rPr>
                <w:rFonts w:ascii="Arial" w:eastAsia="Arial" w:hAnsi="Arial" w:cs="Arial"/>
                <w:b/>
                <w:bCs/>
                <w:color w:val="0E2F47"/>
              </w:rPr>
              <w:t>Census Bureau ZCTA boundaries</w:t>
            </w:r>
          </w:p>
        </w:tc>
        <w:tc>
          <w:tcPr>
            <w:tcW w:w="3100" w:type="dxa"/>
            <w:shd w:val="clear" w:color="auto" w:fill="F2F6F9"/>
            <w:tcMar>
              <w:top w:w="80" w:type="dxa"/>
              <w:left w:w="130" w:type="dxa"/>
              <w:bottom w:w="80" w:type="dxa"/>
              <w:right w:w="130" w:type="dxa"/>
            </w:tcMar>
          </w:tcPr>
          <w:p w14:paraId="717FB4E0" w14:textId="77777777" w:rsidR="001E68F6" w:rsidRDefault="00000000">
            <w:r>
              <w:rPr>
                <w:rFonts w:ascii="Arial" w:eastAsia="Arial" w:hAnsi="Arial" w:cs="Arial"/>
                <w:color w:val="333F48"/>
              </w:rPr>
              <w:t>Polygon approximations of ZIP code areas, needed only to construct the derived ZIP lookup cache.</w:t>
            </w:r>
          </w:p>
        </w:tc>
        <w:tc>
          <w:tcPr>
            <w:tcW w:w="3560" w:type="dxa"/>
            <w:shd w:val="clear" w:color="auto" w:fill="F2F6F9"/>
            <w:tcMar>
              <w:top w:w="80" w:type="dxa"/>
              <w:left w:w="130" w:type="dxa"/>
              <w:bottom w:w="80" w:type="dxa"/>
              <w:right w:w="130" w:type="dxa"/>
            </w:tcMar>
          </w:tcPr>
          <w:p w14:paraId="4B4AE9BD" w14:textId="77777777" w:rsidR="001E68F6" w:rsidRDefault="00000000">
            <w:r>
              <w:rPr>
                <w:rFonts w:ascii="Arial" w:eastAsia="Arial" w:hAnsi="Arial" w:cs="Arial"/>
                <w:color w:val="333F48"/>
              </w:rPr>
              <w:t>census.gov TIGER/Line. ZCTAs approximate ZIPs; the mismatch is a known, documented limitation and one reason ZIP stays a cache, not a source.</w:t>
            </w:r>
          </w:p>
        </w:tc>
      </w:tr>
      <w:tr w:rsidR="001E68F6" w14:paraId="74358B2B" w14:textId="77777777">
        <w:tblPrEx>
          <w:tblCellMar>
            <w:top w:w="0" w:type="dxa"/>
            <w:bottom w:w="0" w:type="dxa"/>
          </w:tblCellMar>
        </w:tblPrEx>
        <w:trPr>
          <w:cantSplit/>
        </w:trPr>
        <w:tc>
          <w:tcPr>
            <w:tcW w:w="2700" w:type="dxa"/>
            <w:shd w:val="clear" w:color="auto" w:fill="FFFFFF"/>
            <w:tcMar>
              <w:top w:w="80" w:type="dxa"/>
              <w:left w:w="130" w:type="dxa"/>
              <w:bottom w:w="80" w:type="dxa"/>
              <w:right w:w="130" w:type="dxa"/>
            </w:tcMar>
          </w:tcPr>
          <w:p w14:paraId="58F72739" w14:textId="77777777" w:rsidR="001E68F6" w:rsidRDefault="00000000">
            <w:r>
              <w:rPr>
                <w:rFonts w:ascii="Arial" w:eastAsia="Arial" w:hAnsi="Arial" w:cs="Arial"/>
                <w:b/>
                <w:bCs/>
                <w:color w:val="0E2F47"/>
              </w:rPr>
              <w:t>State public utility commission territory records</w:t>
            </w:r>
          </w:p>
        </w:tc>
        <w:tc>
          <w:tcPr>
            <w:tcW w:w="3100" w:type="dxa"/>
            <w:shd w:val="clear" w:color="auto" w:fill="FFFFFF"/>
            <w:tcMar>
              <w:top w:w="80" w:type="dxa"/>
              <w:left w:w="130" w:type="dxa"/>
              <w:bottom w:w="80" w:type="dxa"/>
              <w:right w:w="130" w:type="dxa"/>
            </w:tcMar>
          </w:tcPr>
          <w:p w14:paraId="1CA89159" w14:textId="77777777" w:rsidR="001E68F6" w:rsidRDefault="00000000">
            <w:r>
              <w:rPr>
                <w:rFonts w:ascii="Arial" w:eastAsia="Arial" w:hAnsi="Arial" w:cs="Arial"/>
                <w:color w:val="333F48"/>
              </w:rPr>
              <w:t>Legally definitive territory assignments, especially where boundaries are contested or recently changed.</w:t>
            </w:r>
          </w:p>
        </w:tc>
        <w:tc>
          <w:tcPr>
            <w:tcW w:w="3560" w:type="dxa"/>
            <w:shd w:val="clear" w:color="auto" w:fill="FFFFFF"/>
            <w:tcMar>
              <w:top w:w="80" w:type="dxa"/>
              <w:left w:w="130" w:type="dxa"/>
              <w:bottom w:w="80" w:type="dxa"/>
              <w:right w:w="130" w:type="dxa"/>
            </w:tcMar>
          </w:tcPr>
          <w:p w14:paraId="09DCBC6E" w14:textId="77777777" w:rsidR="001E68F6" w:rsidRDefault="00000000">
            <w:r>
              <w:rPr>
                <w:rFonts w:ascii="Arial" w:eastAsia="Arial" w:hAnsi="Arial" w:cs="Arial"/>
                <w:color w:val="333F48"/>
              </w:rPr>
              <w:t>Per-state; see the per-utility table below. The regulator's record wins any conflict with federal data.</w:t>
            </w:r>
          </w:p>
        </w:tc>
      </w:tr>
    </w:tbl>
    <w:p w14:paraId="4528EE33" w14:textId="5B1C1363" w:rsidR="001E68F6" w:rsidRDefault="00000000">
      <w:pPr>
        <w:pBdr>
          <w:left w:val="single" w:sz="18" w:space="0" w:color="E8882F"/>
        </w:pBdr>
        <w:shd w:val="clear" w:color="auto" w:fill="F2F6F9"/>
        <w:spacing w:before="120" w:after="200"/>
        <w:ind w:left="180"/>
      </w:pPr>
      <w:r>
        <w:rPr>
          <w:rFonts w:ascii="Arial" w:eastAsia="Arial" w:hAnsi="Arial" w:cs="Arial"/>
          <w:b/>
          <w:bCs/>
          <w:color w:val="0E2F47"/>
        </w:rPr>
        <w:t xml:space="preserve">Gas is a separate problem. </w:t>
      </w:r>
      <w:r>
        <w:rPr>
          <w:rFonts w:ascii="Arial" w:eastAsia="Arial" w:hAnsi="Arial" w:cs="Arial"/>
          <w:color w:val="333F48"/>
        </w:rPr>
        <w:t xml:space="preserve">EIA states that it does not publish service territory information for natural gas utilities. Electric territory sources above do not answer which gas utility serves a site (Washington Gas vs. BGE gas vs. municipal gas, or Piedmont within Duke territory). Gas selection requires utility-published service areas and state PUC </w:t>
      </w:r>
      <w:r w:rsidR="00F66E34">
        <w:rPr>
          <w:rFonts w:ascii="Arial" w:eastAsia="Arial" w:hAnsi="Arial" w:cs="Arial"/>
          <w:color w:val="333F48"/>
        </w:rPr>
        <w:t>records and</w:t>
      </w:r>
      <w:r>
        <w:rPr>
          <w:rFonts w:ascii="Arial" w:eastAsia="Arial" w:hAnsi="Arial" w:cs="Arial"/>
          <w:color w:val="333F48"/>
        </w:rPr>
        <w:t xml:space="preserve"> should be scoped as its own data item rather than assumed to ride along with D2.2.</w:t>
      </w:r>
    </w:p>
    <w:p w14:paraId="4E4704DA" w14:textId="77777777" w:rsidR="001E68F6" w:rsidRDefault="00000000">
      <w:pPr>
        <w:spacing w:before="320" w:after="140"/>
      </w:pPr>
      <w:r>
        <w:rPr>
          <w:rFonts w:ascii="Arial" w:eastAsia="Arial" w:hAnsi="Arial" w:cs="Arial"/>
          <w:b/>
          <w:bCs/>
          <w:color w:val="1A5276"/>
          <w:sz w:val="28"/>
          <w:szCs w:val="28"/>
        </w:rPr>
        <w:t>Recommended Resolution Architecture</w:t>
      </w:r>
    </w:p>
    <w:p w14:paraId="1591EF5F" w14:textId="77777777" w:rsidR="001E68F6" w:rsidRDefault="00000000">
      <w:pPr>
        <w:spacing w:after="140"/>
      </w:pPr>
      <w:r>
        <w:rPr>
          <w:rFonts w:ascii="Arial" w:eastAsia="Arial" w:hAnsi="Arial" w:cs="Arial"/>
          <w:color w:val="333F48"/>
        </w:rPr>
        <w:t>Four tiers, highest authority first. Every automatic selection records which tier resolved it, the data vintage, and a confidence score.</w:t>
      </w:r>
    </w:p>
    <w:tbl>
      <w:tblPr>
        <w:tblW w:w="9360" w:type="dxa"/>
        <w:tblBorders>
          <w:top w:val="single" w:sz="4" w:space="0" w:color="D5DEE5"/>
          <w:left w:val="single" w:sz="4" w:space="0" w:color="D5DEE5"/>
          <w:bottom w:val="single" w:sz="4" w:space="0" w:color="D5DEE5"/>
          <w:right w:val="single" w:sz="4" w:space="0" w:color="D5DEE5"/>
          <w:insideH w:val="single" w:sz="4" w:space="0" w:color="D5DEE5"/>
          <w:insideV w:val="single" w:sz="4" w:space="0" w:color="D5DEE5"/>
        </w:tblBorders>
        <w:tblCellMar>
          <w:left w:w="10" w:type="dxa"/>
          <w:right w:w="10" w:type="dxa"/>
        </w:tblCellMar>
        <w:tblLook w:val="0000" w:firstRow="0" w:lastRow="0" w:firstColumn="0" w:lastColumn="0" w:noHBand="0" w:noVBand="0"/>
      </w:tblPr>
      <w:tblGrid>
        <w:gridCol w:w="2200"/>
        <w:gridCol w:w="3400"/>
        <w:gridCol w:w="3760"/>
      </w:tblGrid>
      <w:tr w:rsidR="001E68F6" w14:paraId="1E46B786" w14:textId="77777777">
        <w:tblPrEx>
          <w:tblCellMar>
            <w:top w:w="0" w:type="dxa"/>
            <w:bottom w:w="0" w:type="dxa"/>
          </w:tblCellMar>
        </w:tblPrEx>
        <w:trPr>
          <w:tblHeader/>
        </w:trPr>
        <w:tc>
          <w:tcPr>
            <w:tcW w:w="2200" w:type="dxa"/>
            <w:shd w:val="clear" w:color="auto" w:fill="1A5276"/>
            <w:tcMar>
              <w:top w:w="90" w:type="dxa"/>
              <w:left w:w="130" w:type="dxa"/>
              <w:bottom w:w="90" w:type="dxa"/>
              <w:right w:w="130" w:type="dxa"/>
            </w:tcMar>
          </w:tcPr>
          <w:p w14:paraId="1A98D0A1" w14:textId="77777777" w:rsidR="001E68F6" w:rsidRDefault="00000000">
            <w:r>
              <w:rPr>
                <w:rFonts w:ascii="Arial" w:eastAsia="Arial" w:hAnsi="Arial" w:cs="Arial"/>
                <w:b/>
                <w:bCs/>
                <w:color w:val="FFFFFF"/>
              </w:rPr>
              <w:t>Tier</w:t>
            </w:r>
          </w:p>
        </w:tc>
        <w:tc>
          <w:tcPr>
            <w:tcW w:w="3400" w:type="dxa"/>
            <w:shd w:val="clear" w:color="auto" w:fill="1A5276"/>
            <w:tcMar>
              <w:top w:w="90" w:type="dxa"/>
              <w:left w:w="130" w:type="dxa"/>
              <w:bottom w:w="90" w:type="dxa"/>
              <w:right w:w="130" w:type="dxa"/>
            </w:tcMar>
          </w:tcPr>
          <w:p w14:paraId="73885E0B" w14:textId="77777777" w:rsidR="001E68F6" w:rsidRDefault="00000000">
            <w:r>
              <w:rPr>
                <w:rFonts w:ascii="Arial" w:eastAsia="Arial" w:hAnsi="Arial" w:cs="Arial"/>
                <w:b/>
                <w:bCs/>
                <w:color w:val="FFFFFF"/>
              </w:rPr>
              <w:t>Method</w:t>
            </w:r>
          </w:p>
        </w:tc>
        <w:tc>
          <w:tcPr>
            <w:tcW w:w="3760" w:type="dxa"/>
            <w:shd w:val="clear" w:color="auto" w:fill="1A5276"/>
            <w:tcMar>
              <w:top w:w="90" w:type="dxa"/>
              <w:left w:w="130" w:type="dxa"/>
              <w:bottom w:w="90" w:type="dxa"/>
              <w:right w:w="130" w:type="dxa"/>
            </w:tcMar>
          </w:tcPr>
          <w:p w14:paraId="518CB69E" w14:textId="77777777" w:rsidR="001E68F6" w:rsidRDefault="00000000">
            <w:r>
              <w:rPr>
                <w:rFonts w:ascii="Arial" w:eastAsia="Arial" w:hAnsi="Arial" w:cs="Arial"/>
                <w:b/>
                <w:bCs/>
                <w:color w:val="FFFFFF"/>
              </w:rPr>
              <w:t>Behavior</w:t>
            </w:r>
          </w:p>
        </w:tc>
      </w:tr>
      <w:tr w:rsidR="001E68F6" w14:paraId="13EA0689" w14:textId="77777777">
        <w:tblPrEx>
          <w:tblCellMar>
            <w:top w:w="0" w:type="dxa"/>
            <w:bottom w:w="0" w:type="dxa"/>
          </w:tblCellMar>
        </w:tblPrEx>
        <w:trPr>
          <w:cantSplit/>
        </w:trPr>
        <w:tc>
          <w:tcPr>
            <w:tcW w:w="2200" w:type="dxa"/>
            <w:shd w:val="clear" w:color="auto" w:fill="FFFFFF"/>
            <w:tcMar>
              <w:top w:w="80" w:type="dxa"/>
              <w:left w:w="130" w:type="dxa"/>
              <w:bottom w:w="80" w:type="dxa"/>
              <w:right w:w="130" w:type="dxa"/>
            </w:tcMar>
          </w:tcPr>
          <w:p w14:paraId="19FB4747" w14:textId="77777777" w:rsidR="001E68F6" w:rsidRDefault="00000000">
            <w:r>
              <w:rPr>
                <w:rFonts w:ascii="Arial" w:eastAsia="Arial" w:hAnsi="Arial" w:cs="Arial"/>
                <w:b/>
                <w:bCs/>
                <w:color w:val="0E2F47"/>
              </w:rPr>
              <w:t>1. Point-in-polygon (primary)</w:t>
            </w:r>
          </w:p>
        </w:tc>
        <w:tc>
          <w:tcPr>
            <w:tcW w:w="3400" w:type="dxa"/>
            <w:shd w:val="clear" w:color="auto" w:fill="FFFFFF"/>
            <w:tcMar>
              <w:top w:w="80" w:type="dxa"/>
              <w:left w:w="130" w:type="dxa"/>
              <w:bottom w:w="80" w:type="dxa"/>
              <w:right w:w="130" w:type="dxa"/>
            </w:tcMar>
          </w:tcPr>
          <w:p w14:paraId="57EA4017" w14:textId="77777777" w:rsidR="001E68F6" w:rsidRDefault="00000000">
            <w:r>
              <w:rPr>
                <w:rFonts w:ascii="Arial" w:eastAsia="Arial" w:hAnsi="Arial" w:cs="Arial"/>
                <w:color w:val="333F48"/>
              </w:rPr>
              <w:t>Geocode the project address, test the point against the EIA Energy Atlas territory polygons.</w:t>
            </w:r>
          </w:p>
        </w:tc>
        <w:tc>
          <w:tcPr>
            <w:tcW w:w="3760" w:type="dxa"/>
            <w:shd w:val="clear" w:color="auto" w:fill="FFFFFF"/>
            <w:tcMar>
              <w:top w:w="80" w:type="dxa"/>
              <w:left w:w="130" w:type="dxa"/>
              <w:bottom w:w="80" w:type="dxa"/>
              <w:right w:w="130" w:type="dxa"/>
            </w:tcMar>
          </w:tcPr>
          <w:p w14:paraId="50A98F44" w14:textId="77777777" w:rsidR="001E68F6" w:rsidRDefault="00000000">
            <w:r>
              <w:rPr>
                <w:rFonts w:ascii="Arial" w:eastAsia="Arial" w:hAnsi="Arial" w:cs="Arial"/>
                <w:color w:val="333F48"/>
              </w:rPr>
              <w:t>High confidence when the point falls cleanly inside one polygon. Auto-select, log source and layer vintage.</w:t>
            </w:r>
          </w:p>
        </w:tc>
      </w:tr>
      <w:tr w:rsidR="001E68F6" w14:paraId="21A42E76" w14:textId="77777777">
        <w:tblPrEx>
          <w:tblCellMar>
            <w:top w:w="0" w:type="dxa"/>
            <w:bottom w:w="0" w:type="dxa"/>
          </w:tblCellMar>
        </w:tblPrEx>
        <w:trPr>
          <w:cantSplit/>
        </w:trPr>
        <w:tc>
          <w:tcPr>
            <w:tcW w:w="2200" w:type="dxa"/>
            <w:shd w:val="clear" w:color="auto" w:fill="F2F6F9"/>
            <w:tcMar>
              <w:top w:w="80" w:type="dxa"/>
              <w:left w:w="130" w:type="dxa"/>
              <w:bottom w:w="80" w:type="dxa"/>
              <w:right w:w="130" w:type="dxa"/>
            </w:tcMar>
          </w:tcPr>
          <w:p w14:paraId="14097FA7" w14:textId="77777777" w:rsidR="001E68F6" w:rsidRDefault="00000000">
            <w:r>
              <w:rPr>
                <w:rFonts w:ascii="Arial" w:eastAsia="Arial" w:hAnsi="Arial" w:cs="Arial"/>
                <w:b/>
                <w:bCs/>
                <w:color w:val="0E2F47"/>
              </w:rPr>
              <w:t>2. Boundary buffer check</w:t>
            </w:r>
          </w:p>
        </w:tc>
        <w:tc>
          <w:tcPr>
            <w:tcW w:w="3400" w:type="dxa"/>
            <w:shd w:val="clear" w:color="auto" w:fill="F2F6F9"/>
            <w:tcMar>
              <w:top w:w="80" w:type="dxa"/>
              <w:left w:w="130" w:type="dxa"/>
              <w:bottom w:w="80" w:type="dxa"/>
              <w:right w:w="130" w:type="dxa"/>
            </w:tcMar>
          </w:tcPr>
          <w:p w14:paraId="4B72E0E4" w14:textId="77777777" w:rsidR="001E68F6" w:rsidRDefault="00000000">
            <w:r>
              <w:rPr>
                <w:rFonts w:ascii="Arial" w:eastAsia="Arial" w:hAnsi="Arial" w:cs="Arial"/>
                <w:color w:val="333F48"/>
              </w:rPr>
              <w:t>If the point falls within a configurable distance (suggest 0.5 mile initially) of a territory boundary, or polygons overlap.</w:t>
            </w:r>
          </w:p>
        </w:tc>
        <w:tc>
          <w:tcPr>
            <w:tcW w:w="3760" w:type="dxa"/>
            <w:shd w:val="clear" w:color="auto" w:fill="F2F6F9"/>
            <w:tcMar>
              <w:top w:w="80" w:type="dxa"/>
              <w:left w:w="130" w:type="dxa"/>
              <w:bottom w:w="80" w:type="dxa"/>
              <w:right w:w="130" w:type="dxa"/>
            </w:tcMar>
          </w:tcPr>
          <w:p w14:paraId="112A5FA6" w14:textId="77777777" w:rsidR="001E68F6" w:rsidRDefault="00000000">
            <w:r>
              <w:rPr>
                <w:rFonts w:ascii="Arial" w:eastAsia="Arial" w:hAnsi="Arial" w:cs="Arial"/>
                <w:color w:val="333F48"/>
              </w:rPr>
              <w:t>Downgrade confidence, flag for human confirmation in the intake UI. Boundary sites are exactly where automated selection fails silently.</w:t>
            </w:r>
          </w:p>
        </w:tc>
      </w:tr>
      <w:tr w:rsidR="001E68F6" w14:paraId="47FF3895" w14:textId="77777777">
        <w:tblPrEx>
          <w:tblCellMar>
            <w:top w:w="0" w:type="dxa"/>
            <w:bottom w:w="0" w:type="dxa"/>
          </w:tblCellMar>
        </w:tblPrEx>
        <w:trPr>
          <w:cantSplit/>
        </w:trPr>
        <w:tc>
          <w:tcPr>
            <w:tcW w:w="2200" w:type="dxa"/>
            <w:shd w:val="clear" w:color="auto" w:fill="FFFFFF"/>
            <w:tcMar>
              <w:top w:w="80" w:type="dxa"/>
              <w:left w:w="130" w:type="dxa"/>
              <w:bottom w:w="80" w:type="dxa"/>
              <w:right w:w="130" w:type="dxa"/>
            </w:tcMar>
          </w:tcPr>
          <w:p w14:paraId="32971F76" w14:textId="77777777" w:rsidR="001E68F6" w:rsidRDefault="00000000">
            <w:r>
              <w:rPr>
                <w:rFonts w:ascii="Arial" w:eastAsia="Arial" w:hAnsi="Arial" w:cs="Arial"/>
                <w:b/>
                <w:bCs/>
                <w:color w:val="0E2F47"/>
              </w:rPr>
              <w:t>3. County fallback (EIA-861)</w:t>
            </w:r>
          </w:p>
        </w:tc>
        <w:tc>
          <w:tcPr>
            <w:tcW w:w="3400" w:type="dxa"/>
            <w:shd w:val="clear" w:color="auto" w:fill="FFFFFF"/>
            <w:tcMar>
              <w:top w:w="80" w:type="dxa"/>
              <w:left w:w="130" w:type="dxa"/>
              <w:bottom w:w="80" w:type="dxa"/>
              <w:right w:w="130" w:type="dxa"/>
            </w:tcMar>
          </w:tcPr>
          <w:p w14:paraId="6A9ECD5A" w14:textId="77777777" w:rsidR="001E68F6" w:rsidRDefault="00000000">
            <w:r>
              <w:rPr>
                <w:rFonts w:ascii="Arial" w:eastAsia="Arial" w:hAnsi="Arial" w:cs="Arial"/>
                <w:color w:val="333F48"/>
              </w:rPr>
              <w:t>If geocoding fails or polygons are unavailable, resolve by county against the Form 861 Service Territory file.</w:t>
            </w:r>
          </w:p>
        </w:tc>
        <w:tc>
          <w:tcPr>
            <w:tcW w:w="3760" w:type="dxa"/>
            <w:shd w:val="clear" w:color="auto" w:fill="FFFFFF"/>
            <w:tcMar>
              <w:top w:w="80" w:type="dxa"/>
              <w:left w:w="130" w:type="dxa"/>
              <w:bottom w:w="80" w:type="dxa"/>
              <w:right w:w="130" w:type="dxa"/>
            </w:tcMar>
          </w:tcPr>
          <w:p w14:paraId="6938ED94" w14:textId="77777777" w:rsidR="001E68F6" w:rsidRDefault="00000000">
            <w:r>
              <w:rPr>
                <w:rFonts w:ascii="Arial" w:eastAsia="Arial" w:hAnsi="Arial" w:cs="Arial"/>
                <w:color w:val="333F48"/>
              </w:rPr>
              <w:t>Single-utility county: medium confidence, auto-select with flag. Multi-utility county: present the short list to the coordinator, never auto-select.</w:t>
            </w:r>
          </w:p>
        </w:tc>
      </w:tr>
      <w:tr w:rsidR="001E68F6" w14:paraId="3FA98052" w14:textId="77777777">
        <w:tblPrEx>
          <w:tblCellMar>
            <w:top w:w="0" w:type="dxa"/>
            <w:bottom w:w="0" w:type="dxa"/>
          </w:tblCellMar>
        </w:tblPrEx>
        <w:trPr>
          <w:cantSplit/>
        </w:trPr>
        <w:tc>
          <w:tcPr>
            <w:tcW w:w="2200" w:type="dxa"/>
            <w:shd w:val="clear" w:color="auto" w:fill="F2F6F9"/>
            <w:tcMar>
              <w:top w:w="80" w:type="dxa"/>
              <w:left w:w="130" w:type="dxa"/>
              <w:bottom w:w="80" w:type="dxa"/>
              <w:right w:w="130" w:type="dxa"/>
            </w:tcMar>
          </w:tcPr>
          <w:p w14:paraId="252A8299" w14:textId="77777777" w:rsidR="001E68F6" w:rsidRDefault="00000000">
            <w:r>
              <w:rPr>
                <w:rFonts w:ascii="Arial" w:eastAsia="Arial" w:hAnsi="Arial" w:cs="Arial"/>
                <w:b/>
                <w:bCs/>
                <w:color w:val="0E2F47"/>
              </w:rPr>
              <w:t>4. ZIP heuristic cache (derived)</w:t>
            </w:r>
          </w:p>
        </w:tc>
        <w:tc>
          <w:tcPr>
            <w:tcW w:w="3400" w:type="dxa"/>
            <w:shd w:val="clear" w:color="auto" w:fill="F2F6F9"/>
            <w:tcMar>
              <w:top w:w="80" w:type="dxa"/>
              <w:left w:w="130" w:type="dxa"/>
              <w:bottom w:w="80" w:type="dxa"/>
              <w:right w:w="130" w:type="dxa"/>
            </w:tcMar>
          </w:tcPr>
          <w:p w14:paraId="6AE0F295" w14:textId="77777777" w:rsidR="001E68F6" w:rsidRDefault="00000000">
            <w:r>
              <w:rPr>
                <w:rFonts w:ascii="Arial" w:eastAsia="Arial" w:hAnsi="Arial" w:cs="Arial"/>
                <w:color w:val="333F48"/>
              </w:rPr>
              <w:t>Precomputed spatial join of ZCTA polygons against territory polygons, storing per-ZIP utility coverage fractions.</w:t>
            </w:r>
          </w:p>
        </w:tc>
        <w:tc>
          <w:tcPr>
            <w:tcW w:w="3760" w:type="dxa"/>
            <w:shd w:val="clear" w:color="auto" w:fill="F2F6F9"/>
            <w:tcMar>
              <w:top w:w="80" w:type="dxa"/>
              <w:left w:w="130" w:type="dxa"/>
              <w:bottom w:w="80" w:type="dxa"/>
              <w:right w:w="130" w:type="dxa"/>
            </w:tcMar>
          </w:tcPr>
          <w:p w14:paraId="52C73783" w14:textId="77777777" w:rsidR="001E68F6" w:rsidRDefault="00000000">
            <w:r>
              <w:rPr>
                <w:rFonts w:ascii="Arial" w:eastAsia="Arial" w:hAnsi="Arial" w:cs="Arial"/>
                <w:color w:val="333F48"/>
              </w:rPr>
              <w:t>Used only for instant UI suggestions before geocoding completes. A ZIP fully inside one territory can pre-populate the suggestion; any split ZIP requires Tier 1. Rebuilt whenever the polygon layer refreshes.</w:t>
            </w:r>
          </w:p>
        </w:tc>
      </w:tr>
    </w:tbl>
    <w:p w14:paraId="64AC9A8F" w14:textId="77777777" w:rsidR="001E68F6" w:rsidRDefault="00000000">
      <w:pPr>
        <w:spacing w:after="140"/>
      </w:pPr>
      <w:r>
        <w:rPr>
          <w:rFonts w:ascii="Arial" w:eastAsia="Arial" w:hAnsi="Arial" w:cs="Arial"/>
          <w:color w:val="333F48"/>
        </w:rPr>
        <w:lastRenderedPageBreak/>
        <w:t>Two standing rules regardless of tier. Every automatic selection is confirmable and overridable by the coordinator at intake, with the override logged and fed back as training signal. And the polygon and county layers refresh on the EIA annual release cadence, with the refresh date visible in the platform's data provenance panel.</w:t>
      </w:r>
    </w:p>
    <w:p w14:paraId="4CB258CF" w14:textId="77777777" w:rsidR="001E68F6" w:rsidRDefault="00000000">
      <w:pPr>
        <w:spacing w:before="320" w:after="140"/>
      </w:pPr>
      <w:r>
        <w:rPr>
          <w:rFonts w:ascii="Arial" w:eastAsia="Arial" w:hAnsi="Arial" w:cs="Arial"/>
          <w:b/>
          <w:bCs/>
          <w:color w:val="1A5276"/>
          <w:sz w:val="28"/>
          <w:szCs w:val="28"/>
        </w:rPr>
        <w:t>Per-Utility Verification Channels</w:t>
      </w:r>
    </w:p>
    <w:p w14:paraId="7105D683" w14:textId="77777777" w:rsidR="001E68F6" w:rsidRDefault="00000000">
      <w:pPr>
        <w:spacing w:after="140"/>
      </w:pPr>
      <w:r>
        <w:rPr>
          <w:rFonts w:ascii="Arial" w:eastAsia="Arial" w:hAnsi="Arial" w:cs="Arial"/>
          <w:color w:val="333F48"/>
        </w:rPr>
        <w:t xml:space="preserve">For the thirteen operating utilities in the Coverage Analysis, the definitive </w:t>
      </w:r>
      <w:proofErr w:type="gramStart"/>
      <w:r>
        <w:rPr>
          <w:rFonts w:ascii="Arial" w:eastAsia="Arial" w:hAnsi="Arial" w:cs="Arial"/>
          <w:color w:val="333F48"/>
        </w:rPr>
        <w:t>tie-breaker</w:t>
      </w:r>
      <w:proofErr w:type="gramEnd"/>
      <w:r>
        <w:rPr>
          <w:rFonts w:ascii="Arial" w:eastAsia="Arial" w:hAnsi="Arial" w:cs="Arial"/>
          <w:color w:val="333F48"/>
        </w:rPr>
        <w:t xml:space="preserve"> is the utility's own service verification plus the state regulator of record. Use these when Tier 2 flags a boundary case or a client disputes an assignment.</w:t>
      </w:r>
    </w:p>
    <w:tbl>
      <w:tblPr>
        <w:tblW w:w="9360" w:type="dxa"/>
        <w:tblBorders>
          <w:top w:val="single" w:sz="4" w:space="0" w:color="D5DEE5"/>
          <w:left w:val="single" w:sz="4" w:space="0" w:color="D5DEE5"/>
          <w:bottom w:val="single" w:sz="4" w:space="0" w:color="D5DEE5"/>
          <w:right w:val="single" w:sz="4" w:space="0" w:color="D5DEE5"/>
          <w:insideH w:val="single" w:sz="4" w:space="0" w:color="D5DEE5"/>
          <w:insideV w:val="single" w:sz="4" w:space="0" w:color="D5DEE5"/>
        </w:tblBorders>
        <w:tblCellMar>
          <w:left w:w="10" w:type="dxa"/>
          <w:right w:w="10" w:type="dxa"/>
        </w:tblCellMar>
        <w:tblLook w:val="0000" w:firstRow="0" w:lastRow="0" w:firstColumn="0" w:lastColumn="0" w:noHBand="0" w:noVBand="0"/>
      </w:tblPr>
      <w:tblGrid>
        <w:gridCol w:w="2400"/>
        <w:gridCol w:w="3300"/>
        <w:gridCol w:w="3660"/>
      </w:tblGrid>
      <w:tr w:rsidR="001E68F6" w14:paraId="55BE6A2C" w14:textId="77777777">
        <w:tblPrEx>
          <w:tblCellMar>
            <w:top w:w="0" w:type="dxa"/>
            <w:bottom w:w="0" w:type="dxa"/>
          </w:tblCellMar>
        </w:tblPrEx>
        <w:trPr>
          <w:tblHeader/>
        </w:trPr>
        <w:tc>
          <w:tcPr>
            <w:tcW w:w="2400" w:type="dxa"/>
            <w:shd w:val="clear" w:color="auto" w:fill="1A5276"/>
            <w:tcMar>
              <w:top w:w="90" w:type="dxa"/>
              <w:left w:w="130" w:type="dxa"/>
              <w:bottom w:w="90" w:type="dxa"/>
              <w:right w:w="130" w:type="dxa"/>
            </w:tcMar>
          </w:tcPr>
          <w:p w14:paraId="08034D37" w14:textId="77777777" w:rsidR="001E68F6" w:rsidRDefault="00000000">
            <w:r>
              <w:rPr>
                <w:rFonts w:ascii="Arial" w:eastAsia="Arial" w:hAnsi="Arial" w:cs="Arial"/>
                <w:b/>
                <w:bCs/>
                <w:color w:val="FFFFFF"/>
              </w:rPr>
              <w:t>Utility</w:t>
            </w:r>
          </w:p>
        </w:tc>
        <w:tc>
          <w:tcPr>
            <w:tcW w:w="3300" w:type="dxa"/>
            <w:shd w:val="clear" w:color="auto" w:fill="1A5276"/>
            <w:tcMar>
              <w:top w:w="90" w:type="dxa"/>
              <w:left w:w="130" w:type="dxa"/>
              <w:bottom w:w="90" w:type="dxa"/>
              <w:right w:w="130" w:type="dxa"/>
            </w:tcMar>
          </w:tcPr>
          <w:p w14:paraId="01B5E092" w14:textId="77777777" w:rsidR="001E68F6" w:rsidRDefault="00000000">
            <w:r>
              <w:rPr>
                <w:rFonts w:ascii="Arial" w:eastAsia="Arial" w:hAnsi="Arial" w:cs="Arial"/>
                <w:b/>
                <w:bCs/>
                <w:color w:val="FFFFFF"/>
              </w:rPr>
              <w:t>State regulator(s) of record</w:t>
            </w:r>
          </w:p>
        </w:tc>
        <w:tc>
          <w:tcPr>
            <w:tcW w:w="3660" w:type="dxa"/>
            <w:shd w:val="clear" w:color="auto" w:fill="1A5276"/>
            <w:tcMar>
              <w:top w:w="90" w:type="dxa"/>
              <w:left w:w="130" w:type="dxa"/>
              <w:bottom w:w="90" w:type="dxa"/>
              <w:right w:w="130" w:type="dxa"/>
            </w:tcMar>
          </w:tcPr>
          <w:p w14:paraId="3974ED3F" w14:textId="77777777" w:rsidR="001E68F6" w:rsidRDefault="00000000">
            <w:r>
              <w:rPr>
                <w:rFonts w:ascii="Arial" w:eastAsia="Arial" w:hAnsi="Arial" w:cs="Arial"/>
                <w:b/>
                <w:bCs/>
                <w:color w:val="FFFFFF"/>
              </w:rPr>
              <w:t>Utility-side verification</w:t>
            </w:r>
          </w:p>
        </w:tc>
      </w:tr>
      <w:tr w:rsidR="001E68F6" w14:paraId="2DB01789" w14:textId="77777777">
        <w:tblPrEx>
          <w:tblCellMar>
            <w:top w:w="0" w:type="dxa"/>
            <w:bottom w:w="0" w:type="dxa"/>
          </w:tblCellMar>
        </w:tblPrEx>
        <w:trPr>
          <w:cantSplit/>
        </w:trPr>
        <w:tc>
          <w:tcPr>
            <w:tcW w:w="2400" w:type="dxa"/>
            <w:shd w:val="clear" w:color="auto" w:fill="FFFFFF"/>
            <w:tcMar>
              <w:top w:w="80" w:type="dxa"/>
              <w:left w:w="130" w:type="dxa"/>
              <w:bottom w:w="80" w:type="dxa"/>
              <w:right w:w="130" w:type="dxa"/>
            </w:tcMar>
          </w:tcPr>
          <w:p w14:paraId="04FBF421" w14:textId="77777777" w:rsidR="001E68F6" w:rsidRDefault="00000000">
            <w:r>
              <w:rPr>
                <w:rFonts w:ascii="Arial" w:eastAsia="Arial" w:hAnsi="Arial" w:cs="Arial"/>
                <w:b/>
                <w:bCs/>
                <w:color w:val="0E2F47"/>
              </w:rPr>
              <w:t>PEPCO</w:t>
            </w:r>
          </w:p>
        </w:tc>
        <w:tc>
          <w:tcPr>
            <w:tcW w:w="3300" w:type="dxa"/>
            <w:shd w:val="clear" w:color="auto" w:fill="FFFFFF"/>
            <w:tcMar>
              <w:top w:w="80" w:type="dxa"/>
              <w:left w:w="130" w:type="dxa"/>
              <w:bottom w:w="80" w:type="dxa"/>
              <w:right w:w="130" w:type="dxa"/>
            </w:tcMar>
          </w:tcPr>
          <w:p w14:paraId="50D136CE" w14:textId="77777777" w:rsidR="001E68F6" w:rsidRDefault="00000000">
            <w:r>
              <w:rPr>
                <w:rFonts w:ascii="Arial" w:eastAsia="Arial" w:hAnsi="Arial" w:cs="Arial"/>
                <w:color w:val="333F48"/>
              </w:rPr>
              <w:t>DC Public Service Commission; Maryland PSC</w:t>
            </w:r>
          </w:p>
        </w:tc>
        <w:tc>
          <w:tcPr>
            <w:tcW w:w="3660" w:type="dxa"/>
            <w:shd w:val="clear" w:color="auto" w:fill="FFFFFF"/>
            <w:tcMar>
              <w:top w:w="80" w:type="dxa"/>
              <w:left w:w="130" w:type="dxa"/>
              <w:bottom w:w="80" w:type="dxa"/>
              <w:right w:w="130" w:type="dxa"/>
            </w:tcMar>
          </w:tcPr>
          <w:p w14:paraId="05306C1C" w14:textId="77777777" w:rsidR="001E68F6" w:rsidRDefault="00000000">
            <w:r>
              <w:rPr>
                <w:rFonts w:ascii="Arial" w:eastAsia="Arial" w:hAnsi="Arial" w:cs="Arial"/>
                <w:color w:val="333F48"/>
              </w:rPr>
              <w:t>Service area confirmation via PEPCO new-business channels (202-833-7500)</w:t>
            </w:r>
          </w:p>
        </w:tc>
      </w:tr>
      <w:tr w:rsidR="001E68F6" w14:paraId="6397FE7B" w14:textId="77777777">
        <w:tblPrEx>
          <w:tblCellMar>
            <w:top w:w="0" w:type="dxa"/>
            <w:bottom w:w="0" w:type="dxa"/>
          </w:tblCellMar>
        </w:tblPrEx>
        <w:trPr>
          <w:cantSplit/>
        </w:trPr>
        <w:tc>
          <w:tcPr>
            <w:tcW w:w="2400" w:type="dxa"/>
            <w:shd w:val="clear" w:color="auto" w:fill="F2F6F9"/>
            <w:tcMar>
              <w:top w:w="80" w:type="dxa"/>
              <w:left w:w="130" w:type="dxa"/>
              <w:bottom w:w="80" w:type="dxa"/>
              <w:right w:w="130" w:type="dxa"/>
            </w:tcMar>
          </w:tcPr>
          <w:p w14:paraId="5783A06F" w14:textId="77777777" w:rsidR="001E68F6" w:rsidRDefault="00000000">
            <w:r>
              <w:rPr>
                <w:rFonts w:ascii="Arial" w:eastAsia="Arial" w:hAnsi="Arial" w:cs="Arial"/>
                <w:b/>
                <w:bCs/>
                <w:color w:val="0E2F47"/>
              </w:rPr>
              <w:t>BGE</w:t>
            </w:r>
          </w:p>
        </w:tc>
        <w:tc>
          <w:tcPr>
            <w:tcW w:w="3300" w:type="dxa"/>
            <w:shd w:val="clear" w:color="auto" w:fill="F2F6F9"/>
            <w:tcMar>
              <w:top w:w="80" w:type="dxa"/>
              <w:left w:w="130" w:type="dxa"/>
              <w:bottom w:w="80" w:type="dxa"/>
              <w:right w:w="130" w:type="dxa"/>
            </w:tcMar>
          </w:tcPr>
          <w:p w14:paraId="6FAEAEF8" w14:textId="77777777" w:rsidR="001E68F6" w:rsidRDefault="00000000">
            <w:r>
              <w:rPr>
                <w:rFonts w:ascii="Arial" w:eastAsia="Arial" w:hAnsi="Arial" w:cs="Arial"/>
                <w:color w:val="333F48"/>
              </w:rPr>
              <w:t>Maryland PSC</w:t>
            </w:r>
          </w:p>
        </w:tc>
        <w:tc>
          <w:tcPr>
            <w:tcW w:w="3660" w:type="dxa"/>
            <w:shd w:val="clear" w:color="auto" w:fill="F2F6F9"/>
            <w:tcMar>
              <w:top w:w="80" w:type="dxa"/>
              <w:left w:w="130" w:type="dxa"/>
              <w:bottom w:w="80" w:type="dxa"/>
              <w:right w:w="130" w:type="dxa"/>
            </w:tcMar>
          </w:tcPr>
          <w:p w14:paraId="1B7B4879" w14:textId="77777777" w:rsidR="001E68F6" w:rsidRDefault="00000000">
            <w:r>
              <w:rPr>
                <w:rFonts w:ascii="Arial" w:eastAsia="Arial" w:hAnsi="Arial" w:cs="Arial"/>
                <w:color w:val="333F48"/>
              </w:rPr>
              <w:t>BGE New Business regional contacts</w:t>
            </w:r>
          </w:p>
        </w:tc>
      </w:tr>
      <w:tr w:rsidR="001E68F6" w14:paraId="408DA67C" w14:textId="77777777">
        <w:tblPrEx>
          <w:tblCellMar>
            <w:top w:w="0" w:type="dxa"/>
            <w:bottom w:w="0" w:type="dxa"/>
          </w:tblCellMar>
        </w:tblPrEx>
        <w:trPr>
          <w:cantSplit/>
        </w:trPr>
        <w:tc>
          <w:tcPr>
            <w:tcW w:w="2400" w:type="dxa"/>
            <w:shd w:val="clear" w:color="auto" w:fill="FFFFFF"/>
            <w:tcMar>
              <w:top w:w="80" w:type="dxa"/>
              <w:left w:w="130" w:type="dxa"/>
              <w:bottom w:w="80" w:type="dxa"/>
              <w:right w:w="130" w:type="dxa"/>
            </w:tcMar>
          </w:tcPr>
          <w:p w14:paraId="590A9B2F" w14:textId="77777777" w:rsidR="001E68F6" w:rsidRDefault="00000000">
            <w:r>
              <w:rPr>
                <w:rFonts w:ascii="Arial" w:eastAsia="Arial" w:hAnsi="Arial" w:cs="Arial"/>
                <w:b/>
                <w:bCs/>
                <w:color w:val="0E2F47"/>
              </w:rPr>
              <w:t>Con Edison</w:t>
            </w:r>
          </w:p>
        </w:tc>
        <w:tc>
          <w:tcPr>
            <w:tcW w:w="3300" w:type="dxa"/>
            <w:shd w:val="clear" w:color="auto" w:fill="FFFFFF"/>
            <w:tcMar>
              <w:top w:w="80" w:type="dxa"/>
              <w:left w:w="130" w:type="dxa"/>
              <w:bottom w:w="80" w:type="dxa"/>
              <w:right w:w="130" w:type="dxa"/>
            </w:tcMar>
          </w:tcPr>
          <w:p w14:paraId="06F04680" w14:textId="77777777" w:rsidR="001E68F6" w:rsidRDefault="00000000">
            <w:r>
              <w:rPr>
                <w:rFonts w:ascii="Arial" w:eastAsia="Arial" w:hAnsi="Arial" w:cs="Arial"/>
                <w:color w:val="333F48"/>
              </w:rPr>
              <w:t>New York PSC</w:t>
            </w:r>
          </w:p>
        </w:tc>
        <w:tc>
          <w:tcPr>
            <w:tcW w:w="3660" w:type="dxa"/>
            <w:shd w:val="clear" w:color="auto" w:fill="FFFFFF"/>
            <w:tcMar>
              <w:top w:w="80" w:type="dxa"/>
              <w:left w:w="130" w:type="dxa"/>
              <w:bottom w:w="80" w:type="dxa"/>
              <w:right w:w="130" w:type="dxa"/>
            </w:tcMar>
          </w:tcPr>
          <w:p w14:paraId="4ACD499B" w14:textId="77777777" w:rsidR="001E68F6" w:rsidRDefault="00000000">
            <w:r>
              <w:rPr>
                <w:rFonts w:ascii="Arial" w:eastAsia="Arial" w:hAnsi="Arial" w:cs="Arial"/>
                <w:color w:val="333F48"/>
              </w:rPr>
              <w:t>Con Edison service request channels by borough</w:t>
            </w:r>
          </w:p>
        </w:tc>
      </w:tr>
      <w:tr w:rsidR="001E68F6" w14:paraId="30226067" w14:textId="77777777">
        <w:tblPrEx>
          <w:tblCellMar>
            <w:top w:w="0" w:type="dxa"/>
            <w:bottom w:w="0" w:type="dxa"/>
          </w:tblCellMar>
        </w:tblPrEx>
        <w:trPr>
          <w:cantSplit/>
        </w:trPr>
        <w:tc>
          <w:tcPr>
            <w:tcW w:w="2400" w:type="dxa"/>
            <w:shd w:val="clear" w:color="auto" w:fill="F2F6F9"/>
            <w:tcMar>
              <w:top w:w="80" w:type="dxa"/>
              <w:left w:w="130" w:type="dxa"/>
              <w:bottom w:w="80" w:type="dxa"/>
              <w:right w:w="130" w:type="dxa"/>
            </w:tcMar>
          </w:tcPr>
          <w:p w14:paraId="1538C176" w14:textId="77777777" w:rsidR="001E68F6" w:rsidRDefault="00000000">
            <w:r>
              <w:rPr>
                <w:rFonts w:ascii="Arial" w:eastAsia="Arial" w:hAnsi="Arial" w:cs="Arial"/>
                <w:b/>
                <w:bCs/>
                <w:color w:val="0E2F47"/>
              </w:rPr>
              <w:t>PSE&amp;G</w:t>
            </w:r>
          </w:p>
        </w:tc>
        <w:tc>
          <w:tcPr>
            <w:tcW w:w="3300" w:type="dxa"/>
            <w:shd w:val="clear" w:color="auto" w:fill="F2F6F9"/>
            <w:tcMar>
              <w:top w:w="80" w:type="dxa"/>
              <w:left w:w="130" w:type="dxa"/>
              <w:bottom w:w="80" w:type="dxa"/>
              <w:right w:w="130" w:type="dxa"/>
            </w:tcMar>
          </w:tcPr>
          <w:p w14:paraId="3D627A40" w14:textId="77777777" w:rsidR="001E68F6" w:rsidRDefault="00000000">
            <w:r>
              <w:rPr>
                <w:rFonts w:ascii="Arial" w:eastAsia="Arial" w:hAnsi="Arial" w:cs="Arial"/>
                <w:color w:val="333F48"/>
              </w:rPr>
              <w:t>New Jersey Board of Public Utilities</w:t>
            </w:r>
          </w:p>
        </w:tc>
        <w:tc>
          <w:tcPr>
            <w:tcW w:w="3660" w:type="dxa"/>
            <w:shd w:val="clear" w:color="auto" w:fill="F2F6F9"/>
            <w:tcMar>
              <w:top w:w="80" w:type="dxa"/>
              <w:left w:w="130" w:type="dxa"/>
              <w:bottom w:w="80" w:type="dxa"/>
              <w:right w:w="130" w:type="dxa"/>
            </w:tcMar>
          </w:tcPr>
          <w:p w14:paraId="05F8AD70" w14:textId="77777777" w:rsidR="001E68F6" w:rsidRDefault="00000000">
            <w:r>
              <w:rPr>
                <w:rFonts w:ascii="Arial" w:eastAsia="Arial" w:hAnsi="Arial" w:cs="Arial"/>
                <w:color w:val="333F48"/>
              </w:rPr>
              <w:t>Construction Inquiry Department (800-722-0256)</w:t>
            </w:r>
          </w:p>
        </w:tc>
      </w:tr>
      <w:tr w:rsidR="001E68F6" w14:paraId="491DED56" w14:textId="77777777">
        <w:tblPrEx>
          <w:tblCellMar>
            <w:top w:w="0" w:type="dxa"/>
            <w:bottom w:w="0" w:type="dxa"/>
          </w:tblCellMar>
        </w:tblPrEx>
        <w:trPr>
          <w:cantSplit/>
        </w:trPr>
        <w:tc>
          <w:tcPr>
            <w:tcW w:w="2400" w:type="dxa"/>
            <w:shd w:val="clear" w:color="auto" w:fill="FFFFFF"/>
            <w:tcMar>
              <w:top w:w="80" w:type="dxa"/>
              <w:left w:w="130" w:type="dxa"/>
              <w:bottom w:w="80" w:type="dxa"/>
              <w:right w:w="130" w:type="dxa"/>
            </w:tcMar>
          </w:tcPr>
          <w:p w14:paraId="31D92A88" w14:textId="77777777" w:rsidR="001E68F6" w:rsidRDefault="00000000">
            <w:r>
              <w:rPr>
                <w:rFonts w:ascii="Arial" w:eastAsia="Arial" w:hAnsi="Arial" w:cs="Arial"/>
                <w:b/>
                <w:bCs/>
                <w:color w:val="0E2F47"/>
              </w:rPr>
              <w:t>National Grid (NY/MA/RI)</w:t>
            </w:r>
          </w:p>
        </w:tc>
        <w:tc>
          <w:tcPr>
            <w:tcW w:w="3300" w:type="dxa"/>
            <w:shd w:val="clear" w:color="auto" w:fill="FFFFFF"/>
            <w:tcMar>
              <w:top w:w="80" w:type="dxa"/>
              <w:left w:w="130" w:type="dxa"/>
              <w:bottom w:w="80" w:type="dxa"/>
              <w:right w:w="130" w:type="dxa"/>
            </w:tcMar>
          </w:tcPr>
          <w:p w14:paraId="73417872" w14:textId="77777777" w:rsidR="001E68F6" w:rsidRDefault="00000000">
            <w:r>
              <w:rPr>
                <w:rFonts w:ascii="Arial" w:eastAsia="Arial" w:hAnsi="Arial" w:cs="Arial"/>
                <w:color w:val="333F48"/>
              </w:rPr>
              <w:t>New York PSC; Massachusetts DPU; Rhode Island PUC</w:t>
            </w:r>
          </w:p>
        </w:tc>
        <w:tc>
          <w:tcPr>
            <w:tcW w:w="3660" w:type="dxa"/>
            <w:shd w:val="clear" w:color="auto" w:fill="FFFFFF"/>
            <w:tcMar>
              <w:top w:w="80" w:type="dxa"/>
              <w:left w:w="130" w:type="dxa"/>
              <w:bottom w:w="80" w:type="dxa"/>
              <w:right w:w="130" w:type="dxa"/>
            </w:tcMar>
          </w:tcPr>
          <w:p w14:paraId="31B6B3D6" w14:textId="77777777" w:rsidR="001E68F6" w:rsidRDefault="00000000">
            <w:r>
              <w:rPr>
                <w:rFonts w:ascii="Arial" w:eastAsia="Arial" w:hAnsi="Arial" w:cs="Arial"/>
                <w:color w:val="333F48"/>
              </w:rPr>
              <w:t>Regional Start Service for New Construction portals</w:t>
            </w:r>
          </w:p>
        </w:tc>
      </w:tr>
      <w:tr w:rsidR="001E68F6" w14:paraId="23866984" w14:textId="77777777">
        <w:tblPrEx>
          <w:tblCellMar>
            <w:top w:w="0" w:type="dxa"/>
            <w:bottom w:w="0" w:type="dxa"/>
          </w:tblCellMar>
        </w:tblPrEx>
        <w:trPr>
          <w:cantSplit/>
        </w:trPr>
        <w:tc>
          <w:tcPr>
            <w:tcW w:w="2400" w:type="dxa"/>
            <w:shd w:val="clear" w:color="auto" w:fill="F2F6F9"/>
            <w:tcMar>
              <w:top w:w="80" w:type="dxa"/>
              <w:left w:w="130" w:type="dxa"/>
              <w:bottom w:w="80" w:type="dxa"/>
              <w:right w:w="130" w:type="dxa"/>
            </w:tcMar>
          </w:tcPr>
          <w:p w14:paraId="1C26D8DB" w14:textId="77777777" w:rsidR="001E68F6" w:rsidRDefault="00000000">
            <w:r>
              <w:rPr>
                <w:rFonts w:ascii="Arial" w:eastAsia="Arial" w:hAnsi="Arial" w:cs="Arial"/>
                <w:b/>
                <w:bCs/>
                <w:color w:val="0E2F47"/>
              </w:rPr>
              <w:t>Duke Energy (Carolinas, FL, OH)</w:t>
            </w:r>
          </w:p>
        </w:tc>
        <w:tc>
          <w:tcPr>
            <w:tcW w:w="3300" w:type="dxa"/>
            <w:shd w:val="clear" w:color="auto" w:fill="F2F6F9"/>
            <w:tcMar>
              <w:top w:w="80" w:type="dxa"/>
              <w:left w:w="130" w:type="dxa"/>
              <w:bottom w:w="80" w:type="dxa"/>
              <w:right w:w="130" w:type="dxa"/>
            </w:tcMar>
          </w:tcPr>
          <w:p w14:paraId="195A1085" w14:textId="77777777" w:rsidR="001E68F6" w:rsidRDefault="00000000">
            <w:r>
              <w:rPr>
                <w:rFonts w:ascii="Arial" w:eastAsia="Arial" w:hAnsi="Arial" w:cs="Arial"/>
                <w:color w:val="333F48"/>
              </w:rPr>
              <w:t>North Carolina UC; South Carolina PSC; Florida PSC; PUCO (Ohio)</w:t>
            </w:r>
          </w:p>
        </w:tc>
        <w:tc>
          <w:tcPr>
            <w:tcW w:w="3660" w:type="dxa"/>
            <w:shd w:val="clear" w:color="auto" w:fill="F2F6F9"/>
            <w:tcMar>
              <w:top w:w="80" w:type="dxa"/>
              <w:left w:w="130" w:type="dxa"/>
              <w:bottom w:w="80" w:type="dxa"/>
              <w:right w:w="130" w:type="dxa"/>
            </w:tcMar>
          </w:tcPr>
          <w:p w14:paraId="2F387251" w14:textId="77777777" w:rsidR="001E68F6" w:rsidRDefault="00000000">
            <w:r>
              <w:rPr>
                <w:rFonts w:ascii="Arial" w:eastAsia="Arial" w:hAnsi="Arial" w:cs="Arial"/>
                <w:color w:val="333F48"/>
              </w:rPr>
              <w:t>Builder Portal address validation</w:t>
            </w:r>
          </w:p>
        </w:tc>
      </w:tr>
      <w:tr w:rsidR="001E68F6" w14:paraId="65F71627" w14:textId="77777777">
        <w:tblPrEx>
          <w:tblCellMar>
            <w:top w:w="0" w:type="dxa"/>
            <w:bottom w:w="0" w:type="dxa"/>
          </w:tblCellMar>
        </w:tblPrEx>
        <w:trPr>
          <w:cantSplit/>
        </w:trPr>
        <w:tc>
          <w:tcPr>
            <w:tcW w:w="2400" w:type="dxa"/>
            <w:shd w:val="clear" w:color="auto" w:fill="FFFFFF"/>
            <w:tcMar>
              <w:top w:w="80" w:type="dxa"/>
              <w:left w:w="130" w:type="dxa"/>
              <w:bottom w:w="80" w:type="dxa"/>
              <w:right w:w="130" w:type="dxa"/>
            </w:tcMar>
          </w:tcPr>
          <w:p w14:paraId="768AA97E" w14:textId="77777777" w:rsidR="001E68F6" w:rsidRDefault="00000000">
            <w:r>
              <w:rPr>
                <w:rFonts w:ascii="Arial" w:eastAsia="Arial" w:hAnsi="Arial" w:cs="Arial"/>
                <w:b/>
                <w:bCs/>
                <w:color w:val="0E2F47"/>
              </w:rPr>
              <w:t>Florida Power &amp; Light</w:t>
            </w:r>
          </w:p>
        </w:tc>
        <w:tc>
          <w:tcPr>
            <w:tcW w:w="3300" w:type="dxa"/>
            <w:shd w:val="clear" w:color="auto" w:fill="FFFFFF"/>
            <w:tcMar>
              <w:top w:w="80" w:type="dxa"/>
              <w:left w:w="130" w:type="dxa"/>
              <w:bottom w:w="80" w:type="dxa"/>
              <w:right w:w="130" w:type="dxa"/>
            </w:tcMar>
          </w:tcPr>
          <w:p w14:paraId="40953DFC" w14:textId="77777777" w:rsidR="001E68F6" w:rsidRDefault="00000000">
            <w:r>
              <w:rPr>
                <w:rFonts w:ascii="Arial" w:eastAsia="Arial" w:hAnsi="Arial" w:cs="Arial"/>
                <w:color w:val="333F48"/>
              </w:rPr>
              <w:t>Florida PSC</w:t>
            </w:r>
          </w:p>
        </w:tc>
        <w:tc>
          <w:tcPr>
            <w:tcW w:w="3660" w:type="dxa"/>
            <w:shd w:val="clear" w:color="auto" w:fill="FFFFFF"/>
            <w:tcMar>
              <w:top w:w="80" w:type="dxa"/>
              <w:left w:w="130" w:type="dxa"/>
              <w:bottom w:w="80" w:type="dxa"/>
              <w:right w:w="130" w:type="dxa"/>
            </w:tcMar>
          </w:tcPr>
          <w:p w14:paraId="3877C616" w14:textId="77777777" w:rsidR="001E68F6" w:rsidRDefault="00000000">
            <w:r>
              <w:rPr>
                <w:rFonts w:ascii="Arial" w:eastAsia="Arial" w:hAnsi="Arial" w:cs="Arial"/>
                <w:color w:val="333F48"/>
              </w:rPr>
              <w:t>FPL Project Portal (partner.fpl.com)</w:t>
            </w:r>
          </w:p>
        </w:tc>
      </w:tr>
      <w:tr w:rsidR="001E68F6" w14:paraId="72A04707" w14:textId="77777777">
        <w:tblPrEx>
          <w:tblCellMar>
            <w:top w:w="0" w:type="dxa"/>
            <w:bottom w:w="0" w:type="dxa"/>
          </w:tblCellMar>
        </w:tblPrEx>
        <w:trPr>
          <w:cantSplit/>
        </w:trPr>
        <w:tc>
          <w:tcPr>
            <w:tcW w:w="2400" w:type="dxa"/>
            <w:shd w:val="clear" w:color="auto" w:fill="F2F6F9"/>
            <w:tcMar>
              <w:top w:w="80" w:type="dxa"/>
              <w:left w:w="130" w:type="dxa"/>
              <w:bottom w:w="80" w:type="dxa"/>
              <w:right w:w="130" w:type="dxa"/>
            </w:tcMar>
          </w:tcPr>
          <w:p w14:paraId="5319C00A" w14:textId="77777777" w:rsidR="001E68F6" w:rsidRDefault="00000000">
            <w:r>
              <w:rPr>
                <w:rFonts w:ascii="Arial" w:eastAsia="Arial" w:hAnsi="Arial" w:cs="Arial"/>
                <w:b/>
                <w:bCs/>
                <w:color w:val="0E2F47"/>
              </w:rPr>
              <w:t>Georgia Power</w:t>
            </w:r>
          </w:p>
        </w:tc>
        <w:tc>
          <w:tcPr>
            <w:tcW w:w="3300" w:type="dxa"/>
            <w:shd w:val="clear" w:color="auto" w:fill="F2F6F9"/>
            <w:tcMar>
              <w:top w:w="80" w:type="dxa"/>
              <w:left w:w="130" w:type="dxa"/>
              <w:bottom w:w="80" w:type="dxa"/>
              <w:right w:w="130" w:type="dxa"/>
            </w:tcMar>
          </w:tcPr>
          <w:p w14:paraId="1DE932BA" w14:textId="77777777" w:rsidR="001E68F6" w:rsidRDefault="00000000">
            <w:r>
              <w:rPr>
                <w:rFonts w:ascii="Arial" w:eastAsia="Arial" w:hAnsi="Arial" w:cs="Arial"/>
                <w:color w:val="333F48"/>
              </w:rPr>
              <w:t>Georgia PSC</w:t>
            </w:r>
          </w:p>
        </w:tc>
        <w:tc>
          <w:tcPr>
            <w:tcW w:w="3660" w:type="dxa"/>
            <w:shd w:val="clear" w:color="auto" w:fill="F2F6F9"/>
            <w:tcMar>
              <w:top w:w="80" w:type="dxa"/>
              <w:left w:w="130" w:type="dxa"/>
              <w:bottom w:w="80" w:type="dxa"/>
              <w:right w:w="130" w:type="dxa"/>
            </w:tcMar>
          </w:tcPr>
          <w:p w14:paraId="164BBD0D" w14:textId="77777777" w:rsidR="001E68F6" w:rsidRDefault="00000000">
            <w:r>
              <w:rPr>
                <w:rFonts w:ascii="Arial" w:eastAsia="Arial" w:hAnsi="Arial" w:cs="Arial"/>
                <w:color w:val="333F48"/>
              </w:rPr>
              <w:t>Developer engineer line (877-365-3276)</w:t>
            </w:r>
          </w:p>
        </w:tc>
      </w:tr>
      <w:tr w:rsidR="001E68F6" w14:paraId="18BD3302" w14:textId="77777777">
        <w:tblPrEx>
          <w:tblCellMar>
            <w:top w:w="0" w:type="dxa"/>
            <w:bottom w:w="0" w:type="dxa"/>
          </w:tblCellMar>
        </w:tblPrEx>
        <w:trPr>
          <w:cantSplit/>
        </w:trPr>
        <w:tc>
          <w:tcPr>
            <w:tcW w:w="2400" w:type="dxa"/>
            <w:shd w:val="clear" w:color="auto" w:fill="FFFFFF"/>
            <w:tcMar>
              <w:top w:w="80" w:type="dxa"/>
              <w:left w:w="130" w:type="dxa"/>
              <w:bottom w:w="80" w:type="dxa"/>
              <w:right w:w="130" w:type="dxa"/>
            </w:tcMar>
          </w:tcPr>
          <w:p w14:paraId="09D1D74D" w14:textId="77777777" w:rsidR="001E68F6" w:rsidRDefault="00000000">
            <w:r>
              <w:rPr>
                <w:rFonts w:ascii="Arial" w:eastAsia="Arial" w:hAnsi="Arial" w:cs="Arial"/>
                <w:b/>
                <w:bCs/>
                <w:color w:val="0E2F47"/>
              </w:rPr>
              <w:t>Dominion Energy Virginia</w:t>
            </w:r>
          </w:p>
        </w:tc>
        <w:tc>
          <w:tcPr>
            <w:tcW w:w="3300" w:type="dxa"/>
            <w:shd w:val="clear" w:color="auto" w:fill="FFFFFF"/>
            <w:tcMar>
              <w:top w:w="80" w:type="dxa"/>
              <w:left w:w="130" w:type="dxa"/>
              <w:bottom w:w="80" w:type="dxa"/>
              <w:right w:w="130" w:type="dxa"/>
            </w:tcMar>
          </w:tcPr>
          <w:p w14:paraId="523D4CE9" w14:textId="77777777" w:rsidR="001E68F6" w:rsidRDefault="00000000">
            <w:r>
              <w:rPr>
                <w:rFonts w:ascii="Arial" w:eastAsia="Arial" w:hAnsi="Arial" w:cs="Arial"/>
                <w:color w:val="333F48"/>
              </w:rPr>
              <w:t>Virginia SCC</w:t>
            </w:r>
          </w:p>
        </w:tc>
        <w:tc>
          <w:tcPr>
            <w:tcW w:w="3660" w:type="dxa"/>
            <w:shd w:val="clear" w:color="auto" w:fill="FFFFFF"/>
            <w:tcMar>
              <w:top w:w="80" w:type="dxa"/>
              <w:left w:w="130" w:type="dxa"/>
              <w:bottom w:w="80" w:type="dxa"/>
              <w:right w:w="130" w:type="dxa"/>
            </w:tcMar>
          </w:tcPr>
          <w:p w14:paraId="14BC595E" w14:textId="77777777" w:rsidR="001E68F6" w:rsidRDefault="00000000">
            <w:r>
              <w:rPr>
                <w:rFonts w:ascii="Arial" w:eastAsia="Arial" w:hAnsi="Arial" w:cs="Arial"/>
                <w:color w:val="333F48"/>
              </w:rPr>
              <w:t>eBuilder work request portal; 866-366-4357</w:t>
            </w:r>
          </w:p>
        </w:tc>
      </w:tr>
      <w:tr w:rsidR="001E68F6" w14:paraId="18F183B1" w14:textId="77777777">
        <w:tblPrEx>
          <w:tblCellMar>
            <w:top w:w="0" w:type="dxa"/>
            <w:bottom w:w="0" w:type="dxa"/>
          </w:tblCellMar>
        </w:tblPrEx>
        <w:trPr>
          <w:cantSplit/>
        </w:trPr>
        <w:tc>
          <w:tcPr>
            <w:tcW w:w="2400" w:type="dxa"/>
            <w:shd w:val="clear" w:color="auto" w:fill="F2F6F9"/>
            <w:tcMar>
              <w:top w:w="80" w:type="dxa"/>
              <w:left w:w="130" w:type="dxa"/>
              <w:bottom w:w="80" w:type="dxa"/>
              <w:right w:w="130" w:type="dxa"/>
            </w:tcMar>
          </w:tcPr>
          <w:p w14:paraId="2D5A8E9F" w14:textId="77777777" w:rsidR="001E68F6" w:rsidRDefault="00000000">
            <w:r>
              <w:rPr>
                <w:rFonts w:ascii="Arial" w:eastAsia="Arial" w:hAnsi="Arial" w:cs="Arial"/>
                <w:b/>
                <w:bCs/>
                <w:color w:val="0E2F47"/>
              </w:rPr>
              <w:t>AEP Ohio / Appalachian Power</w:t>
            </w:r>
          </w:p>
        </w:tc>
        <w:tc>
          <w:tcPr>
            <w:tcW w:w="3300" w:type="dxa"/>
            <w:shd w:val="clear" w:color="auto" w:fill="F2F6F9"/>
            <w:tcMar>
              <w:top w:w="80" w:type="dxa"/>
              <w:left w:w="130" w:type="dxa"/>
              <w:bottom w:w="80" w:type="dxa"/>
              <w:right w:w="130" w:type="dxa"/>
            </w:tcMar>
          </w:tcPr>
          <w:p w14:paraId="061E3AC3" w14:textId="77777777" w:rsidR="001E68F6" w:rsidRDefault="00000000">
            <w:r>
              <w:rPr>
                <w:rFonts w:ascii="Arial" w:eastAsia="Arial" w:hAnsi="Arial" w:cs="Arial"/>
                <w:color w:val="333F48"/>
              </w:rPr>
              <w:t>PUCO (Ohio); West Virginia PSC; Virginia SCC</w:t>
            </w:r>
          </w:p>
        </w:tc>
        <w:tc>
          <w:tcPr>
            <w:tcW w:w="3660" w:type="dxa"/>
            <w:shd w:val="clear" w:color="auto" w:fill="F2F6F9"/>
            <w:tcMar>
              <w:top w:w="80" w:type="dxa"/>
              <w:left w:w="130" w:type="dxa"/>
              <w:bottom w:w="80" w:type="dxa"/>
              <w:right w:w="130" w:type="dxa"/>
            </w:tcMar>
          </w:tcPr>
          <w:p w14:paraId="50C10BE0" w14:textId="77777777" w:rsidR="001E68F6" w:rsidRDefault="00000000">
            <w:r>
              <w:rPr>
                <w:rFonts w:ascii="Arial" w:eastAsia="Arial" w:hAnsi="Arial" w:cs="Arial"/>
                <w:color w:val="333F48"/>
              </w:rPr>
              <w:t>Online New Business service request forms</w:t>
            </w:r>
          </w:p>
        </w:tc>
      </w:tr>
      <w:tr w:rsidR="001E68F6" w14:paraId="7726300E" w14:textId="77777777">
        <w:tblPrEx>
          <w:tblCellMar>
            <w:top w:w="0" w:type="dxa"/>
            <w:bottom w:w="0" w:type="dxa"/>
          </w:tblCellMar>
        </w:tblPrEx>
        <w:trPr>
          <w:cantSplit/>
        </w:trPr>
        <w:tc>
          <w:tcPr>
            <w:tcW w:w="2400" w:type="dxa"/>
            <w:shd w:val="clear" w:color="auto" w:fill="FFFFFF"/>
            <w:tcMar>
              <w:top w:w="80" w:type="dxa"/>
              <w:left w:w="130" w:type="dxa"/>
              <w:bottom w:w="80" w:type="dxa"/>
              <w:right w:w="130" w:type="dxa"/>
            </w:tcMar>
          </w:tcPr>
          <w:p w14:paraId="0455E5AF" w14:textId="77777777" w:rsidR="001E68F6" w:rsidRDefault="00000000">
            <w:r>
              <w:rPr>
                <w:rFonts w:ascii="Arial" w:eastAsia="Arial" w:hAnsi="Arial" w:cs="Arial"/>
                <w:b/>
                <w:bCs/>
                <w:color w:val="0E2F47"/>
              </w:rPr>
              <w:t>Alabama Power</w:t>
            </w:r>
          </w:p>
        </w:tc>
        <w:tc>
          <w:tcPr>
            <w:tcW w:w="3300" w:type="dxa"/>
            <w:shd w:val="clear" w:color="auto" w:fill="FFFFFF"/>
            <w:tcMar>
              <w:top w:w="80" w:type="dxa"/>
              <w:left w:w="130" w:type="dxa"/>
              <w:bottom w:w="80" w:type="dxa"/>
              <w:right w:w="130" w:type="dxa"/>
            </w:tcMar>
          </w:tcPr>
          <w:p w14:paraId="6E592FE1" w14:textId="77777777" w:rsidR="001E68F6" w:rsidRDefault="00000000">
            <w:r>
              <w:rPr>
                <w:rFonts w:ascii="Arial" w:eastAsia="Arial" w:hAnsi="Arial" w:cs="Arial"/>
                <w:color w:val="333F48"/>
              </w:rPr>
              <w:t>Alabama PSC</w:t>
            </w:r>
          </w:p>
        </w:tc>
        <w:tc>
          <w:tcPr>
            <w:tcW w:w="3660" w:type="dxa"/>
            <w:shd w:val="clear" w:color="auto" w:fill="FFFFFF"/>
            <w:tcMar>
              <w:top w:w="80" w:type="dxa"/>
              <w:left w:w="130" w:type="dxa"/>
              <w:bottom w:w="80" w:type="dxa"/>
              <w:right w:w="130" w:type="dxa"/>
            </w:tcMar>
          </w:tcPr>
          <w:p w14:paraId="6E8ECB9D" w14:textId="77777777" w:rsidR="001E68F6" w:rsidRDefault="00000000">
            <w:r>
              <w:rPr>
                <w:rFonts w:ascii="Arial" w:eastAsia="Arial" w:hAnsi="Arial" w:cs="Arial"/>
                <w:color w:val="333F48"/>
              </w:rPr>
              <w:t>Builders &amp; Developers portal</w:t>
            </w:r>
          </w:p>
        </w:tc>
      </w:tr>
      <w:tr w:rsidR="001E68F6" w14:paraId="328FE65F" w14:textId="77777777">
        <w:tblPrEx>
          <w:tblCellMar>
            <w:top w:w="0" w:type="dxa"/>
            <w:bottom w:w="0" w:type="dxa"/>
          </w:tblCellMar>
        </w:tblPrEx>
        <w:trPr>
          <w:cantSplit/>
        </w:trPr>
        <w:tc>
          <w:tcPr>
            <w:tcW w:w="2400" w:type="dxa"/>
            <w:shd w:val="clear" w:color="auto" w:fill="F2F6F9"/>
            <w:tcMar>
              <w:top w:w="80" w:type="dxa"/>
              <w:left w:w="130" w:type="dxa"/>
              <w:bottom w:w="80" w:type="dxa"/>
              <w:right w:w="130" w:type="dxa"/>
            </w:tcMar>
          </w:tcPr>
          <w:p w14:paraId="0F0E8A31" w14:textId="77777777" w:rsidR="001E68F6" w:rsidRDefault="00000000">
            <w:r>
              <w:rPr>
                <w:rFonts w:ascii="Arial" w:eastAsia="Arial" w:hAnsi="Arial" w:cs="Arial"/>
                <w:b/>
                <w:bCs/>
                <w:color w:val="0E2F47"/>
              </w:rPr>
              <w:t>Mississippi Power</w:t>
            </w:r>
          </w:p>
        </w:tc>
        <w:tc>
          <w:tcPr>
            <w:tcW w:w="3300" w:type="dxa"/>
            <w:shd w:val="clear" w:color="auto" w:fill="F2F6F9"/>
            <w:tcMar>
              <w:top w:w="80" w:type="dxa"/>
              <w:left w:w="130" w:type="dxa"/>
              <w:bottom w:w="80" w:type="dxa"/>
              <w:right w:w="130" w:type="dxa"/>
            </w:tcMar>
          </w:tcPr>
          <w:p w14:paraId="3BD82C14" w14:textId="77777777" w:rsidR="001E68F6" w:rsidRDefault="00000000">
            <w:r>
              <w:rPr>
                <w:rFonts w:ascii="Arial" w:eastAsia="Arial" w:hAnsi="Arial" w:cs="Arial"/>
                <w:color w:val="333F48"/>
              </w:rPr>
              <w:t>Mississippi PSC</w:t>
            </w:r>
          </w:p>
        </w:tc>
        <w:tc>
          <w:tcPr>
            <w:tcW w:w="3660" w:type="dxa"/>
            <w:shd w:val="clear" w:color="auto" w:fill="F2F6F9"/>
            <w:tcMar>
              <w:top w:w="80" w:type="dxa"/>
              <w:left w:w="130" w:type="dxa"/>
              <w:bottom w:w="80" w:type="dxa"/>
              <w:right w:w="130" w:type="dxa"/>
            </w:tcMar>
          </w:tcPr>
          <w:p w14:paraId="6F1FD088" w14:textId="77777777" w:rsidR="001E68F6" w:rsidRDefault="00000000">
            <w:r>
              <w:rPr>
                <w:rFonts w:ascii="Arial" w:eastAsia="Arial" w:hAnsi="Arial" w:cs="Arial"/>
                <w:color w:val="333F48"/>
              </w:rPr>
              <w:t>Business services via mississippipower.com</w:t>
            </w:r>
          </w:p>
        </w:tc>
      </w:tr>
      <w:tr w:rsidR="001E68F6" w14:paraId="149C71EA" w14:textId="77777777">
        <w:tblPrEx>
          <w:tblCellMar>
            <w:top w:w="0" w:type="dxa"/>
            <w:bottom w:w="0" w:type="dxa"/>
          </w:tblCellMar>
        </w:tblPrEx>
        <w:trPr>
          <w:cantSplit/>
        </w:trPr>
        <w:tc>
          <w:tcPr>
            <w:tcW w:w="2400" w:type="dxa"/>
            <w:shd w:val="clear" w:color="auto" w:fill="FFFFFF"/>
            <w:tcMar>
              <w:top w:w="80" w:type="dxa"/>
              <w:left w:w="130" w:type="dxa"/>
              <w:bottom w:w="80" w:type="dxa"/>
              <w:right w:w="130" w:type="dxa"/>
            </w:tcMar>
          </w:tcPr>
          <w:p w14:paraId="558592D1" w14:textId="77777777" w:rsidR="001E68F6" w:rsidRDefault="00000000">
            <w:r>
              <w:rPr>
                <w:rFonts w:ascii="Arial" w:eastAsia="Arial" w:hAnsi="Arial" w:cs="Arial"/>
                <w:b/>
                <w:bCs/>
                <w:color w:val="0E2F47"/>
              </w:rPr>
              <w:t>Entergy Mississippi</w:t>
            </w:r>
          </w:p>
        </w:tc>
        <w:tc>
          <w:tcPr>
            <w:tcW w:w="3300" w:type="dxa"/>
            <w:shd w:val="clear" w:color="auto" w:fill="FFFFFF"/>
            <w:tcMar>
              <w:top w:w="80" w:type="dxa"/>
              <w:left w:w="130" w:type="dxa"/>
              <w:bottom w:w="80" w:type="dxa"/>
              <w:right w:w="130" w:type="dxa"/>
            </w:tcMar>
          </w:tcPr>
          <w:p w14:paraId="005E40A2" w14:textId="77777777" w:rsidR="001E68F6" w:rsidRDefault="00000000">
            <w:r>
              <w:rPr>
                <w:rFonts w:ascii="Arial" w:eastAsia="Arial" w:hAnsi="Arial" w:cs="Arial"/>
                <w:color w:val="333F48"/>
              </w:rPr>
              <w:t>Mississippi PSC</w:t>
            </w:r>
          </w:p>
        </w:tc>
        <w:tc>
          <w:tcPr>
            <w:tcW w:w="3660" w:type="dxa"/>
            <w:shd w:val="clear" w:color="auto" w:fill="FFFFFF"/>
            <w:tcMar>
              <w:top w:w="80" w:type="dxa"/>
              <w:left w:w="130" w:type="dxa"/>
              <w:bottom w:w="80" w:type="dxa"/>
              <w:right w:w="130" w:type="dxa"/>
            </w:tcMar>
          </w:tcPr>
          <w:p w14:paraId="3AE23F20" w14:textId="77777777" w:rsidR="001E68F6" w:rsidRDefault="00000000">
            <w:r>
              <w:rPr>
                <w:rFonts w:ascii="Arial" w:eastAsia="Arial" w:hAnsi="Arial" w:cs="Arial"/>
                <w:color w:val="333F48"/>
              </w:rPr>
              <w:t>Builder services page; 800-368-3749</w:t>
            </w:r>
          </w:p>
        </w:tc>
      </w:tr>
    </w:tbl>
    <w:p w14:paraId="50CAE437" w14:textId="77777777" w:rsidR="001E68F6" w:rsidRDefault="00000000">
      <w:pPr>
        <w:spacing w:before="320" w:after="140"/>
      </w:pPr>
      <w:r>
        <w:rPr>
          <w:rFonts w:ascii="Arial" w:eastAsia="Arial" w:hAnsi="Arial" w:cs="Arial"/>
          <w:b/>
          <w:bCs/>
          <w:color w:val="1A5276"/>
          <w:sz w:val="28"/>
          <w:szCs w:val="28"/>
        </w:rPr>
        <w:t>Building the ZIP Layer Responsibly</w:t>
      </w:r>
    </w:p>
    <w:p w14:paraId="12A1F364" w14:textId="77777777" w:rsidR="001E68F6" w:rsidRDefault="00000000">
      <w:pPr>
        <w:spacing w:after="140"/>
        <w:rPr>
          <w:rFonts w:ascii="Arial" w:eastAsia="Arial" w:hAnsi="Arial" w:cs="Arial"/>
          <w:color w:val="333F48"/>
        </w:rPr>
      </w:pPr>
      <w:r>
        <w:rPr>
          <w:rFonts w:ascii="Arial" w:eastAsia="Arial" w:hAnsi="Arial" w:cs="Arial"/>
          <w:color w:val="333F48"/>
        </w:rPr>
        <w:t>Since the requirement mentions ZIP explicitly, here is the defensible way to produce a ZIP-based map: spatially join Census ZCTA polygons against the EIA territory polygons and store, for each ZIP, the list of intersecting utilities with the fraction of ZCTA area each covers. ZIPs with a single utility above a high threshold (suggest 99 percent) become auto-suggest ZIPs. Everything else is marked split and routed to Tier 1 resolution. Store the build date, source layer vintage, and threshold with every record. This yields the speed of a ZIP lookup without ever letting ZIP overrule the polygon truth.</w:t>
      </w:r>
    </w:p>
    <w:p w14:paraId="0E64CD50" w14:textId="77777777" w:rsidR="00F66E34" w:rsidRDefault="00F66E34">
      <w:pPr>
        <w:spacing w:after="140"/>
        <w:rPr>
          <w:rFonts w:ascii="Arial" w:eastAsia="Arial" w:hAnsi="Arial" w:cs="Arial"/>
          <w:color w:val="333F48"/>
        </w:rPr>
      </w:pPr>
    </w:p>
    <w:p w14:paraId="517FD3A6" w14:textId="77777777" w:rsidR="00F66E34" w:rsidRDefault="00F66E34">
      <w:pPr>
        <w:spacing w:after="140"/>
      </w:pPr>
    </w:p>
    <w:p w14:paraId="6A02FBE6" w14:textId="77777777" w:rsidR="001E68F6" w:rsidRDefault="00000000">
      <w:pPr>
        <w:spacing w:before="320" w:after="140"/>
      </w:pPr>
      <w:r>
        <w:rPr>
          <w:rFonts w:ascii="Arial" w:eastAsia="Arial" w:hAnsi="Arial" w:cs="Arial"/>
          <w:b/>
          <w:bCs/>
          <w:color w:val="1A5276"/>
          <w:sz w:val="28"/>
          <w:szCs w:val="28"/>
        </w:rPr>
        <w:lastRenderedPageBreak/>
        <w:t>Open Items</w:t>
      </w:r>
    </w:p>
    <w:p w14:paraId="0F8685B8" w14:textId="77777777" w:rsidR="001E68F6" w:rsidRDefault="00000000">
      <w:pPr>
        <w:spacing w:after="140"/>
      </w:pPr>
      <w:r>
        <w:rPr>
          <w:rFonts w:ascii="Arial" w:eastAsia="Arial" w:hAnsi="Arial" w:cs="Arial"/>
          <w:color w:val="333F48"/>
        </w:rPr>
        <w:t>Confirm the EIA Energy Atlas endpoint and download format at ingestion time, given the 2025 HIFLD Open deactivation; pin the layer vintage in the data model.</w:t>
      </w:r>
    </w:p>
    <w:p w14:paraId="36C48B2F" w14:textId="77777777" w:rsidR="001E68F6" w:rsidRDefault="00000000">
      <w:pPr>
        <w:spacing w:after="140"/>
      </w:pPr>
      <w:r>
        <w:rPr>
          <w:rFonts w:ascii="Arial" w:eastAsia="Arial" w:hAnsi="Arial" w:cs="Arial"/>
          <w:color w:val="333F48"/>
        </w:rPr>
        <w:t>Scope gas service territory data as a separate requirement; EIA publishes none, so the gas layer must be assembled from utility and state PUC sources.</w:t>
      </w:r>
    </w:p>
    <w:p w14:paraId="2D1C4B6A" w14:textId="263D9651" w:rsidR="001E68F6" w:rsidRDefault="00000000">
      <w:pPr>
        <w:spacing w:after="140"/>
      </w:pPr>
      <w:r>
        <w:rPr>
          <w:rFonts w:ascii="Arial" w:eastAsia="Arial" w:hAnsi="Arial" w:cs="Arial"/>
          <w:color w:val="333F48"/>
        </w:rPr>
        <w:t>Decide the boundary-buffer distance with after testing against known DMV boundary cases (for example, the PEPCO/BGE seam in Montgomery and Howard counties).</w:t>
      </w:r>
    </w:p>
    <w:p w14:paraId="3185E3F8" w14:textId="77777777" w:rsidR="001E68F6" w:rsidRDefault="00000000">
      <w:pPr>
        <w:spacing w:after="140"/>
      </w:pPr>
      <w:r>
        <w:rPr>
          <w:rFonts w:ascii="Arial" w:eastAsia="Arial" w:hAnsi="Arial" w:cs="Arial"/>
          <w:color w:val="333F48"/>
        </w:rPr>
        <w:t>Cooperative and municipal territories inside the pilot footprint (NOVEC, SMECO, FKEC, KEYS Energy) appear in the EIA sources like any other utility; verify their polygon quality specifically, as smaller-utility geometries are historically rougher.</w:t>
      </w:r>
    </w:p>
    <w:sectPr w:rsidR="001E68F6">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4DA526" w14:textId="77777777" w:rsidR="00ED0924" w:rsidRDefault="00ED0924">
      <w:r>
        <w:separator/>
      </w:r>
    </w:p>
  </w:endnote>
  <w:endnote w:type="continuationSeparator" w:id="0">
    <w:p w14:paraId="7636F5FC" w14:textId="77777777" w:rsidR="00ED0924" w:rsidRDefault="00ED09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9E0D07" w14:textId="77777777" w:rsidR="001E68F6" w:rsidRDefault="00000000">
    <w:pPr>
      <w:pBdr>
        <w:top w:val="single" w:sz="12" w:space="0" w:color="E8882F"/>
      </w:pBdr>
      <w:spacing w:before="80"/>
      <w:jc w:val="center"/>
    </w:pPr>
    <w:r>
      <w:rPr>
        <w:rFonts w:ascii="Arial" w:eastAsia="Arial" w:hAnsi="Arial" w:cs="Arial"/>
        <w:color w:val="5B6770"/>
        <w:sz w:val="16"/>
        <w:szCs w:val="16"/>
      </w:rPr>
      <w:t xml:space="preserve">Commun-ET, LLC · 100 M Street SE, Suite 600, Washington, DC 20003 · 202-688-0484 · commun-et.com · Page </w:t>
    </w:r>
    <w:r>
      <w:rPr>
        <w:rFonts w:ascii="Arial" w:eastAsia="Arial" w:hAnsi="Arial" w:cs="Arial"/>
        <w:color w:val="5B6770"/>
        <w:sz w:val="16"/>
        <w:szCs w:val="16"/>
      </w:rPr>
      <w:fldChar w:fldCharType="begin"/>
    </w:r>
    <w:r>
      <w:rPr>
        <w:rFonts w:ascii="Arial" w:eastAsia="Arial" w:hAnsi="Arial" w:cs="Arial"/>
        <w:color w:val="5B6770"/>
        <w:sz w:val="16"/>
        <w:szCs w:val="16"/>
      </w:rPr>
      <w:instrText>PAGE</w:instrText>
    </w:r>
    <w:r>
      <w:rPr>
        <w:rFonts w:ascii="Arial" w:eastAsia="Arial" w:hAnsi="Arial" w:cs="Arial"/>
        <w:color w:val="5B6770"/>
        <w:sz w:val="16"/>
        <w:szCs w:val="16"/>
      </w:rPr>
      <w:fldChar w:fldCharType="separate"/>
    </w:r>
    <w:r w:rsidR="00F66E34">
      <w:rPr>
        <w:rFonts w:ascii="Arial" w:eastAsia="Arial" w:hAnsi="Arial" w:cs="Arial"/>
        <w:noProof/>
        <w:color w:val="5B6770"/>
        <w:sz w:val="16"/>
        <w:szCs w:val="16"/>
      </w:rPr>
      <w:t>1</w:t>
    </w:r>
    <w:r>
      <w:rPr>
        <w:rFonts w:ascii="Arial" w:eastAsia="Arial" w:hAnsi="Arial" w:cs="Arial"/>
        <w:color w:val="5B67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6AC39D" w14:textId="77777777" w:rsidR="00ED0924" w:rsidRDefault="00ED0924">
      <w:r>
        <w:separator/>
      </w:r>
    </w:p>
  </w:footnote>
  <w:footnote w:type="continuationSeparator" w:id="0">
    <w:p w14:paraId="071B53C3" w14:textId="77777777" w:rsidR="00ED0924" w:rsidRDefault="00ED09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F9878DB"/>
    <w:multiLevelType w:val="hybridMultilevel"/>
    <w:tmpl w:val="951AB31A"/>
    <w:lvl w:ilvl="0" w:tplc="5C161B52">
      <w:start w:val="1"/>
      <w:numFmt w:val="bullet"/>
      <w:lvlText w:val="●"/>
      <w:lvlJc w:val="left"/>
      <w:pPr>
        <w:ind w:left="720" w:hanging="360"/>
      </w:pPr>
    </w:lvl>
    <w:lvl w:ilvl="1" w:tplc="76645856">
      <w:start w:val="1"/>
      <w:numFmt w:val="bullet"/>
      <w:lvlText w:val="○"/>
      <w:lvlJc w:val="left"/>
      <w:pPr>
        <w:ind w:left="1440" w:hanging="360"/>
      </w:pPr>
    </w:lvl>
    <w:lvl w:ilvl="2" w:tplc="5D224540">
      <w:start w:val="1"/>
      <w:numFmt w:val="bullet"/>
      <w:lvlText w:val="■"/>
      <w:lvlJc w:val="left"/>
      <w:pPr>
        <w:ind w:left="2160" w:hanging="360"/>
      </w:pPr>
    </w:lvl>
    <w:lvl w:ilvl="3" w:tplc="30FA40F2">
      <w:start w:val="1"/>
      <w:numFmt w:val="bullet"/>
      <w:lvlText w:val="●"/>
      <w:lvlJc w:val="left"/>
      <w:pPr>
        <w:ind w:left="2880" w:hanging="360"/>
      </w:pPr>
    </w:lvl>
    <w:lvl w:ilvl="4" w:tplc="F774E640">
      <w:start w:val="1"/>
      <w:numFmt w:val="bullet"/>
      <w:lvlText w:val="○"/>
      <w:lvlJc w:val="left"/>
      <w:pPr>
        <w:ind w:left="3600" w:hanging="360"/>
      </w:pPr>
    </w:lvl>
    <w:lvl w:ilvl="5" w:tplc="A4828B68">
      <w:start w:val="1"/>
      <w:numFmt w:val="bullet"/>
      <w:lvlText w:val="■"/>
      <w:lvlJc w:val="left"/>
      <w:pPr>
        <w:ind w:left="4320" w:hanging="360"/>
      </w:pPr>
    </w:lvl>
    <w:lvl w:ilvl="6" w:tplc="AFE0B3B0">
      <w:start w:val="1"/>
      <w:numFmt w:val="bullet"/>
      <w:lvlText w:val="●"/>
      <w:lvlJc w:val="left"/>
      <w:pPr>
        <w:ind w:left="5040" w:hanging="360"/>
      </w:pPr>
    </w:lvl>
    <w:lvl w:ilvl="7" w:tplc="FFF402F4">
      <w:start w:val="1"/>
      <w:numFmt w:val="bullet"/>
      <w:lvlText w:val="●"/>
      <w:lvlJc w:val="left"/>
      <w:pPr>
        <w:ind w:left="5760" w:hanging="360"/>
      </w:pPr>
    </w:lvl>
    <w:lvl w:ilvl="8" w:tplc="B78E6302">
      <w:start w:val="1"/>
      <w:numFmt w:val="bullet"/>
      <w:lvlText w:val="●"/>
      <w:lvlJc w:val="left"/>
      <w:pPr>
        <w:ind w:left="6480" w:hanging="360"/>
      </w:pPr>
    </w:lvl>
  </w:abstractNum>
  <w:num w:numId="1" w16cid:durableId="167511257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8F6"/>
    <w:rsid w:val="001E68F6"/>
    <w:rsid w:val="00752C06"/>
    <w:rsid w:val="00ED0924"/>
    <w:rsid w:val="00F66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6E888D"/>
  <w15:docId w15:val="{A7441C5A-D4BD-594E-B6AA-AB4F561E9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1348</Words>
  <Characters>7687</Characters>
  <Application>Microsoft Office Word</Application>
  <DocSecurity>0</DocSecurity>
  <Lines>64</Lines>
  <Paragraphs>18</Paragraphs>
  <ScaleCrop>false</ScaleCrop>
  <Company/>
  <LinksUpToDate>false</LinksUpToDate>
  <CharactersWithSpaces>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Swain</cp:lastModifiedBy>
  <cp:revision>2</cp:revision>
  <dcterms:created xsi:type="dcterms:W3CDTF">2026-07-15T15:08:00Z</dcterms:created>
  <dcterms:modified xsi:type="dcterms:W3CDTF">2026-07-15T15:08:00Z</dcterms:modified>
</cp:coreProperties>
</file>