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400"/>
              <w:left w:type="dxa" w:w="400"/>
              <w:bottom w:type="dxa" w:w="400"/>
              <w:right w:type="dxa" w:w="400"/>
            </w:tcMar>
          </w:tcPr>
          <w:p>
            <w:pPr>
              <w:spacing w:before="0" w:after="60"/>
              <w:jc w:val="center"/>
            </w:pPr>
            <w:r>
              <w:rPr>
                <w:rFonts w:ascii="Arial" w:cs="Arial" w:eastAsia="Arial" w:hAnsi="Arial"/>
                <w:color w:val="8B9AB0"/>
                <w:sz w:val="20"/>
                <w:szCs w:val="20"/>
              </w:rPr>
              <w:t xml:space="preserve">COMMUN-ET, LLC  ·  INSIGHT™ PLATFORM</w:t>
            </w:r>
          </w:p>
          <w:p>
            <w:pPr>
              <w:spacing w:before="0" w:after="60"/>
              <w:jc w:val="center"/>
            </w:pPr>
            <w:r>
              <w:rPr>
                <w:rFonts w:ascii="Arial" w:cs="Arial" w:eastAsia="Arial" w:hAnsi="Arial"/>
                <w:b/>
                <w:bCs/>
                <w:color w:val="FF6B2B"/>
                <w:sz w:val="72"/>
                <w:szCs w:val="72"/>
              </w:rPr>
              <w:t xml:space="preserve">DC DOB PermitWizard</w:t>
            </w:r>
          </w:p>
          <w:p>
            <w:pPr>
              <w:spacing w:before="0" w:after="100"/>
              <w:jc w:val="center"/>
            </w:pPr>
            <w:r>
              <w:rPr>
                <w:rFonts w:ascii="Arial" w:cs="Arial" w:eastAsia="Arial" w:hAnsi="Arial"/>
                <w:b/>
                <w:bCs/>
                <w:color w:val="E8EDF2"/>
                <w:sz w:val="40"/>
                <w:szCs w:val="40"/>
              </w:rPr>
              <w:t xml:space="preserve">Agentic AI Architecture Design</w:t>
            </w:r>
          </w:p>
          <w:p>
            <w:pPr>
              <w:spacing w:before="0" w:after="60"/>
              <w:jc w:val="center"/>
            </w:pPr>
            <w:r>
              <w:rPr>
                <w:rFonts w:ascii="Arial" w:cs="Arial" w:eastAsia="Arial" w:hAnsi="Arial"/>
                <w:color w:val="4A9EE0"/>
                <w:sz w:val="24"/>
                <w:szCs w:val="24"/>
              </w:rPr>
              <w:t xml:space="preserve">End-to-End Autonomous Permit Application Filing System</w:t>
            </w:r>
          </w:p>
          <w:p>
            <w:pPr>
              <w:jc w:val="center"/>
            </w:pPr>
            <w:r>
              <w:rPr>
                <w:rFonts w:ascii="Arial" w:cs="Arial" w:eastAsia="Arial" w:hAnsi="Arial"/>
                <w:color w:val="8B9AB0"/>
                <w:sz w:val="19"/>
                <w:szCs w:val="19"/>
              </w:rPr>
              <w:t xml:space="preserve">permitwizard.dcra.dc.gov  ·  Powered by Accela  ·  Filed via Access DC SSO</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3547" w:sz="1"/>
              <w:left w:val="single" w:color="2A3547" w:sz="1"/>
              <w:bottom w:val="single" w:color="2A3547" w:sz="1"/>
              <w:right w:val="single" w:color="2A3547" w:sz="1"/>
            </w:tcBorders>
            <w:shd w:fill="1C2333" w:val="clear"/>
            <w:tcMar>
              <w:top w:type="dxa" w:w="120"/>
              <w:left w:type="dxa" w:w="80"/>
              <w:bottom w:type="dxa" w:w="120"/>
              <w:right w:type="dxa" w:w="80"/>
            </w:tcMar>
          </w:tcPr>
          <w:p>
            <w:pPr>
              <w:jc w:val="center"/>
            </w:pPr>
            <w:r>
              <w:rPr>
                <w:rFonts w:ascii="Arial" w:cs="Arial" w:eastAsia="Arial" w:hAnsi="Arial"/>
                <w:b/>
                <w:bCs/>
                <w:color w:val="FF6B2B"/>
                <w:sz w:val="44"/>
                <w:szCs w:val="44"/>
              </w:rPr>
              <w:t xml:space="preserve">9</w:t>
            </w:r>
          </w:p>
          <w:p>
            <w:pPr>
              <w:jc w:val="center"/>
            </w:pPr>
            <w:r>
              <w:rPr>
                <w:rFonts w:ascii="Arial" w:cs="Arial" w:eastAsia="Arial" w:hAnsi="Arial"/>
                <w:color w:val="8B9AB0"/>
                <w:sz w:val="18"/>
                <w:szCs w:val="18"/>
              </w:rPr>
              <w:t xml:space="preserve">Specialized Agents</w:t>
            </w:r>
          </w:p>
        </w:tc>
        <w:tc>
          <w:tcPr>
            <w:tcW w:type="dxa" w:w="2340"/>
            <w:tcBorders>
              <w:top w:val="single" w:color="2A3547" w:sz="1"/>
              <w:left w:val="single" w:color="2A3547" w:sz="1"/>
              <w:bottom w:val="single" w:color="2A3547" w:sz="1"/>
              <w:right w:val="single" w:color="2A3547" w:sz="1"/>
            </w:tcBorders>
            <w:shd w:fill="1C2333" w:val="clear"/>
            <w:tcMar>
              <w:top w:type="dxa" w:w="120"/>
              <w:left w:type="dxa" w:w="80"/>
              <w:bottom w:type="dxa" w:w="120"/>
              <w:right w:type="dxa" w:w="80"/>
            </w:tcMar>
          </w:tcPr>
          <w:p>
            <w:pPr>
              <w:jc w:val="center"/>
            </w:pPr>
            <w:r>
              <w:rPr>
                <w:rFonts w:ascii="Arial" w:cs="Arial" w:eastAsia="Arial" w:hAnsi="Arial"/>
                <w:b/>
                <w:bCs/>
                <w:color w:val="FF6B2B"/>
                <w:sz w:val="44"/>
                <w:szCs w:val="44"/>
              </w:rPr>
              <w:t xml:space="preserve">5</w:t>
            </w:r>
          </w:p>
          <w:p>
            <w:pPr>
              <w:jc w:val="center"/>
            </w:pPr>
            <w:r>
              <w:rPr>
                <w:rFonts w:ascii="Arial" w:cs="Arial" w:eastAsia="Arial" w:hAnsi="Arial"/>
                <w:color w:val="8B9AB0"/>
                <w:sz w:val="18"/>
                <w:szCs w:val="18"/>
              </w:rPr>
              <w:t xml:space="preserve">Portal Workflow Stages</w:t>
            </w:r>
          </w:p>
        </w:tc>
        <w:tc>
          <w:tcPr>
            <w:tcW w:type="dxa" w:w="2340"/>
            <w:tcBorders>
              <w:top w:val="single" w:color="2A3547" w:sz="1"/>
              <w:left w:val="single" w:color="2A3547" w:sz="1"/>
              <w:bottom w:val="single" w:color="2A3547" w:sz="1"/>
              <w:right w:val="single" w:color="2A3547" w:sz="1"/>
            </w:tcBorders>
            <w:shd w:fill="1C2333" w:val="clear"/>
            <w:tcMar>
              <w:top w:type="dxa" w:w="120"/>
              <w:left w:type="dxa" w:w="80"/>
              <w:bottom w:type="dxa" w:w="120"/>
              <w:right w:type="dxa" w:w="80"/>
            </w:tcMar>
          </w:tcPr>
          <w:p>
            <w:pPr>
              <w:jc w:val="center"/>
            </w:pPr>
            <w:r>
              <w:rPr>
                <w:rFonts w:ascii="Arial" w:cs="Arial" w:eastAsia="Arial" w:hAnsi="Arial"/>
                <w:b/>
                <w:bCs/>
                <w:color w:val="FF6B2B"/>
                <w:sz w:val="44"/>
                <w:szCs w:val="44"/>
              </w:rPr>
              <w:t xml:space="preserve">3</w:t>
            </w:r>
          </w:p>
          <w:p>
            <w:pPr>
              <w:jc w:val="center"/>
            </w:pPr>
            <w:r>
              <w:rPr>
                <w:rFonts w:ascii="Arial" w:cs="Arial" w:eastAsia="Arial" w:hAnsi="Arial"/>
                <w:color w:val="8B9AB0"/>
                <w:sz w:val="18"/>
                <w:szCs w:val="18"/>
              </w:rPr>
              <w:t xml:space="preserve">External Integrations</w:t>
            </w:r>
          </w:p>
        </w:tc>
        <w:tc>
          <w:tcPr>
            <w:tcW w:type="dxa" w:w="2340"/>
            <w:tcBorders>
              <w:top w:val="single" w:color="2A3547" w:sz="1"/>
              <w:left w:val="single" w:color="2A3547" w:sz="1"/>
              <w:bottom w:val="single" w:color="2A3547" w:sz="1"/>
              <w:right w:val="single" w:color="2A3547" w:sz="1"/>
            </w:tcBorders>
            <w:shd w:fill="1C2333" w:val="clear"/>
            <w:tcMar>
              <w:top w:type="dxa" w:w="120"/>
              <w:left w:type="dxa" w:w="80"/>
              <w:bottom w:type="dxa" w:w="120"/>
              <w:right w:type="dxa" w:w="80"/>
            </w:tcMar>
          </w:tcPr>
          <w:p>
            <w:pPr>
              <w:jc w:val="center"/>
            </w:pPr>
            <w:r>
              <w:rPr>
                <w:rFonts w:ascii="Arial" w:cs="Arial" w:eastAsia="Arial" w:hAnsi="Arial"/>
                <w:b/>
                <w:bCs/>
                <w:color w:val="FF6B2B"/>
                <w:sz w:val="44"/>
                <w:szCs w:val="44"/>
              </w:rPr>
              <w:t xml:space="preserve">1</w:t>
            </w:r>
          </w:p>
          <w:p>
            <w:pPr>
              <w:jc w:val="center"/>
            </w:pPr>
            <w:r>
              <w:rPr>
                <w:rFonts w:ascii="Arial" w:cs="Arial" w:eastAsia="Arial" w:hAnsi="Arial"/>
                <w:color w:val="8B9AB0"/>
                <w:sz w:val="18"/>
                <w:szCs w:val="18"/>
              </w:rPr>
              <w:t xml:space="preserve">Human Decision Gate</w:t>
            </w:r>
          </w:p>
        </w:tc>
      </w:tr>
    </w:tbl>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1. System Overview</w:t>
      </w:r>
    </w:p>
    <w:p>
      <w:pPr>
        <w:spacing w:before="60" w:after="80"/>
      </w:pPr>
      <w:r>
        <w:rPr>
          <w:rFonts w:ascii="Arial" w:cs="Arial" w:eastAsia="Arial" w:hAnsi="Arial"/>
          <w:color w:val="8B9AB0"/>
          <w:sz w:val="21"/>
          <w:szCs w:val="21"/>
        </w:rPr>
        <w:t xml:space="preserve">This document defines the agentic AI architecture required to autonomously file permit applications through the DC Department of Buildings PermitWizard portal on behalf of Commun-ET clients. The system operates as a supervised autonomous filing agent: it handles all mechanical, data-gathering, and portal interaction tasks independently, while surfacing exactly one mandatory human decision gate — the pre-submission review — before any application is committed to the DOB.</w:t>
      </w:r>
    </w:p>
    <w:p>
      <w:pPr>
        <w:spacing w:before="120" w:after="0"/>
      </w:pPr>
      <w:r>
        <w:t xml:space="preserve"/>
      </w:r>
    </w:p>
    <w:p>
      <w:pPr>
        <w:spacing w:before="60" w:after="80"/>
      </w:pPr>
      <w:r>
        <w:rPr>
          <w:rFonts w:ascii="Arial" w:cs="Arial" w:eastAsia="Arial" w:hAnsi="Arial"/>
          <w:color w:val="8B9AB0"/>
          <w:sz w:val="21"/>
          <w:szCs w:val="21"/>
        </w:rPr>
        <w:t xml:space="preserve">The DC DOB PermitWizard is a wizard-based permit application portal (built on Accela) that processes residential projects (1–2 family), trade permits, solar, demolition, and raze permits. Authentication is via Access DC single sign-on. Applications submitted through the Wizard are routed to either Digital Walk-Through (1-business-day review for simple projects) or ProjectDox (complex multi-discipline review). The agentic system must handle both tracks.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4A9EE0" w:val="clear"/>
            <w:tcMar>
              <w:top w:type="dxa" w:w="140"/>
              <w:left w:type="dxa" w:w="80"/>
              <w:bottom w:type="dxa" w:w="140"/>
              <w:right w:type="dxa" w:w="80"/>
            </w:tcMar>
            <w:vAlign w:val="center"/>
          </w:tcPr>
          <w:p>
            <w:pPr>
              <w:jc w:val="center"/>
            </w:pPr>
            <w:r>
              <w:rPr>
                <w:rFonts w:ascii="Arial" w:cs="Arial" w:eastAsia="Arial" w:hAnsi="Arial"/>
                <w:b/>
                <w:bCs/>
                <w:color w:val="FFFFFF"/>
                <w:sz w:val="22"/>
                <w:szCs w:val="22"/>
              </w:rPr>
              <w:t xml:space="preserve">🔒</w:t>
            </w:r>
          </w:p>
        </w:tc>
        <w:tc>
          <w:tcPr>
            <w:tcW w:type="dxa" w:w="9060"/>
            <w:tcBorders>
              <w:top w:val="none" w:color="FFFFFF" w:sz="0"/>
              <w:left w:val="none" w:color="FFFFFF" w:sz="0"/>
              <w:bottom w:val="none" w:color="FFFFFF" w:sz="0"/>
              <w:right w:val="none" w:color="FFFFFF" w:sz="0"/>
            </w:tcBorders>
            <w:shd w:fill="1C2333" w:val="clear"/>
            <w:tcMar>
              <w:top w:type="dxa" w:w="120"/>
              <w:left w:type="dxa" w:w="180"/>
              <w:bottom w:type="dxa" w:w="120"/>
              <w:right w:type="dxa" w:w="140"/>
            </w:tcMar>
          </w:tcPr>
          <w:p>
            <w:pPr>
              <w:spacing w:before="0" w:after="20"/>
            </w:pPr>
            <w:r>
              <w:rPr>
                <w:rFonts w:ascii="Arial" w:cs="Arial" w:eastAsia="Arial" w:hAnsi="Arial"/>
                <w:b/>
                <w:bCs/>
                <w:color w:val="E8EDF2"/>
                <w:sz w:val="20"/>
                <w:szCs w:val="20"/>
              </w:rPr>
              <w:t xml:space="preserve">Authorization Requirement</w:t>
            </w:r>
          </w:p>
          <w:p>
            <w:r>
              <w:rPr>
                <w:rFonts w:ascii="Arial" w:cs="Arial" w:eastAsia="Arial" w:hAnsi="Arial"/>
                <w:color w:val="8B9AB0"/>
                <w:sz w:val="20"/>
                <w:szCs w:val="20"/>
              </w:rPr>
              <w:t xml:space="preserve">Commun-ET must operate as a registered DC DOB Permit Expediter. Filing representatives are required to use their assigned DOB registration number on every application submitted on behalf of a client. This is a legal requirement, not a system preference. The License Validation Agent verifies this on every run.</w:t>
            </w:r>
          </w:p>
        </w:tc>
      </w:tr>
    </w:tbl>
    <w:p>
      <w:pPr>
        <w:spacing w:before="200" w:after="0"/>
      </w:pPr>
      <w:r>
        <w:t xml:space="preserve"/>
      </w:r>
    </w:p>
    <w:p>
      <w:pPr>
        <w:pStyle w:val="Heading2"/>
        <w:spacing w:before="260" w:after="80"/>
      </w:pPr>
      <w:r>
        <w:rPr>
          <w:rFonts w:ascii="Arial" w:cs="Arial" w:eastAsia="Arial" w:hAnsi="Arial"/>
          <w:b/>
          <w:bCs/>
          <w:color w:val="E8EDF2"/>
          <w:sz w:val="26"/>
          <w:szCs w:val="26"/>
        </w:rPr>
        <w:t xml:space="preserve">Portal Architecture: What the Agents Are Interfacing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Component</w:t>
            </w:r>
          </w:p>
        </w:tc>
        <w:tc>
          <w:tcPr>
            <w:tcW w:type="dxa" w:w="636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What It Is</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PermitWizard Frontend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JavaScript-rendered React app at permitwizard.dcra.dc.gov. Wizard-based multi-step form. No native API — agents interact via browser automation.</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Access DC SSO</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DC government single sign-on. OAuth-based. Required for all portal actions. Commun-ET holds an authorized filing representative account.</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Accela Backend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The permitting database that powers PermitWizard. All submitted applications are stored in Accela and trackable via Scout (scout.dcra.dc.gov).</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Scout / Status API</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Real-time permit status lookup by Application ID or property address. Used for post-submission monitoring.</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ProjectDox</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Electronic plan submission platform triggered for complex projects. Separate login and document upload workflow.</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DLCP License System</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Professional Licensing System used to validate architect, engineer, contractor, and expediter license numbers before submission.</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Scout Address Lookup</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Property intelligence tool that surfaces zoning, historic district status, flood hazard area designation, and overlay restrictions for any DC address.</w:t>
            </w:r>
          </w:p>
        </w:tc>
      </w:tr>
    </w:tbl>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2. Agent Roster</w:t>
      </w:r>
    </w:p>
    <w:p>
      <w:pPr>
        <w:spacing w:before="60" w:after="80"/>
      </w:pPr>
      <w:r>
        <w:rPr>
          <w:rFonts w:ascii="Arial" w:cs="Arial" w:eastAsia="Arial" w:hAnsi="Arial"/>
          <w:color w:val="8B9AB0"/>
          <w:sz w:val="21"/>
          <w:szCs w:val="21"/>
        </w:rPr>
        <w:t xml:space="preserve">The system comprises 9 specialized agents organized into 3 operational layers: Pre-Flight (intelligence gathering and validation before touching the portal), Execution (portal navigation and form filing), and Post-Submission (monitoring, escalation, and ProjectDox handling). Each agent has a single responsibility and communicates via a shared project context object.</w:t>
      </w:r>
    </w:p>
    <w:p>
      <w:pPr>
        <w:spacing w:before="160" w:after="0"/>
      </w:pPr>
      <w:r>
        <w:t xml:space="preserve"/>
      </w:r>
    </w:p>
    <w:p>
      <w:pPr>
        <w:spacing w:before="180" w:after="60"/>
      </w:pPr>
      <w:r>
        <w:rPr>
          <w:rFonts w:ascii="Arial" w:cs="Arial" w:eastAsia="Arial" w:hAnsi="Arial"/>
          <w:b/>
          <w:bCs/>
          <w:color w:val="4A9EE0"/>
          <w:sz w:val="22"/>
          <w:szCs w:val="22"/>
        </w:rPr>
        <w:t xml:space="preserve">System Architecture — Agent Layers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3547" w:sz="1"/>
              <w:left w:val="single" w:color="2A3547" w:sz="1"/>
              <w:bottom w:val="single" w:color="2A3547" w:sz="1"/>
              <w:right w:val="single" w:color="2A3547" w:sz="1"/>
            </w:tcBorders>
            <w:shd w:fill="0F1923" w:val="clear"/>
            <w:tcMar>
              <w:top w:type="dxa" w:w="100"/>
              <w:left w:type="dxa" w:w="120"/>
              <w:bottom w:type="dxa" w:w="0"/>
              <w:right w:type="dxa" w:w="80"/>
            </w:tcMar>
          </w:tcPr>
          <w:p>
            <w:pPr>
              <w:jc w:val="center"/>
            </w:pPr>
            <w:r>
              <w:rPr>
                <w:rFonts w:ascii="Arial" w:cs="Arial" w:eastAsia="Arial" w:hAnsi="Arial"/>
                <w:b/>
                <w:bCs/>
                <w:color w:val="2DD4BF"/>
                <w:sz w:val="20"/>
                <w:szCs w:val="20"/>
              </w:rPr>
              <w:t xml:space="preserve">LAYER 1: PRE-FLIGHT</w:t>
            </w:r>
          </w:p>
        </w:tc>
        <w:tc>
          <w:tcPr>
            <w:tcW w:type="dxa" w:w="3120"/>
            <w:tcBorders>
              <w:top w:val="single" w:color="2A3547" w:sz="1"/>
              <w:left w:val="single" w:color="2A3547" w:sz="1"/>
              <w:bottom w:val="single" w:color="2A3547" w:sz="1"/>
              <w:right w:val="single" w:color="2A3547" w:sz="1"/>
            </w:tcBorders>
            <w:shd w:fill="0F1923" w:val="clear"/>
            <w:tcMar>
              <w:top w:type="dxa" w:w="100"/>
              <w:left w:type="dxa" w:w="120"/>
              <w:bottom w:type="dxa" w:w="0"/>
              <w:right w:type="dxa" w:w="80"/>
            </w:tcMar>
          </w:tcPr>
          <w:p>
            <w:pPr>
              <w:jc w:val="center"/>
            </w:pPr>
            <w:r>
              <w:rPr>
                <w:rFonts w:ascii="Arial" w:cs="Arial" w:eastAsia="Arial" w:hAnsi="Arial"/>
                <w:b/>
                <w:bCs/>
                <w:color w:val="FF6B2B"/>
                <w:sz w:val="20"/>
                <w:szCs w:val="20"/>
              </w:rPr>
              <w:t xml:space="preserve">LAYER 2: EXECUTION</w:t>
            </w:r>
          </w:p>
        </w:tc>
        <w:tc>
          <w:tcPr>
            <w:tcW w:type="dxa" w:w="3120"/>
            <w:tcBorders>
              <w:top w:val="single" w:color="2A3547" w:sz="1"/>
              <w:left w:val="single" w:color="2A3547" w:sz="1"/>
              <w:bottom w:val="single" w:color="2A3547" w:sz="1"/>
              <w:right w:val="single" w:color="2A3547" w:sz="1"/>
            </w:tcBorders>
            <w:shd w:fill="0F1923" w:val="clear"/>
            <w:tcMar>
              <w:top w:type="dxa" w:w="100"/>
              <w:left w:type="dxa" w:w="120"/>
              <w:bottom w:type="dxa" w:w="0"/>
              <w:right w:type="dxa" w:w="80"/>
            </w:tcMar>
          </w:tcPr>
          <w:p>
            <w:pPr>
              <w:jc w:val="center"/>
            </w:pPr>
            <w:r>
              <w:rPr>
                <w:rFonts w:ascii="Arial" w:cs="Arial" w:eastAsia="Arial" w:hAnsi="Arial"/>
                <w:b/>
                <w:bCs/>
                <w:color w:val="4A9EE0"/>
                <w:sz w:val="20"/>
                <w:szCs w:val="20"/>
              </w:rPr>
              <w:t xml:space="preserve">LAYER 3: POST-SUBMISSION</w:t>
            </w:r>
          </w:p>
        </w:tc>
      </w:tr>
      <w:tr>
        <w:tc>
          <w:tcPr>
            <w:tcW w:type="dxa" w:w="3120"/>
            <w:tcBorders>
              <w:top w:val="single" w:color="2A3547" w:sz="1"/>
              <w:left w:val="single" w:color="2A3547" w:sz="1"/>
              <w:bottom w:val="single" w:color="2A3547" w:sz="1"/>
              <w:right w:val="single" w:color="2A3547" w:sz="1"/>
            </w:tcBorders>
            <w:shd w:fill="1C2333" w:val="clear"/>
            <w:tcMar>
              <w:top w:type="dxa" w:w="100"/>
              <w:left w:type="dxa" w:w="120"/>
              <w:bottom w:type="dxa" w:w="100"/>
              <w:right w:type="dxa" w:w="80"/>
            </w:tcMar>
          </w:tcPr>
          <w:p>
            <w:pPr>
              <w:spacing w:before="0" w:after="40"/>
            </w:pPr>
            <w:r>
              <w:rPr>
                <w:rFonts w:ascii="Arial" w:cs="Arial" w:eastAsia="Arial" w:hAnsi="Arial"/>
                <w:color w:val="E8EDF2"/>
                <w:sz w:val="19"/>
                <w:szCs w:val="19"/>
              </w:rPr>
              <w:t xml:space="preserve">01  Property Intelligence Agent</w:t>
            </w:r>
          </w:p>
          <w:p>
            <w:pPr>
              <w:spacing w:before="0" w:after="40"/>
            </w:pPr>
            <w:r>
              <w:rPr>
                <w:rFonts w:ascii="Arial" w:cs="Arial" w:eastAsia="Arial" w:hAnsi="Arial"/>
                <w:color w:val="E8EDF2"/>
                <w:sz w:val="19"/>
                <w:szCs w:val="19"/>
              </w:rPr>
              <w:t xml:space="preserve">02  License Validation Agent</w:t>
            </w:r>
          </w:p>
          <w:p>
            <w:pPr>
              <w:spacing w:before="0" w:after="40"/>
            </w:pPr>
            <w:r>
              <w:rPr>
                <w:rFonts w:ascii="Arial" w:cs="Arial" w:eastAsia="Arial" w:hAnsi="Arial"/>
                <w:color w:val="E8EDF2"/>
                <w:sz w:val="19"/>
                <w:szCs w:val="19"/>
              </w:rPr>
              <w:t xml:space="preserve">03  Document Preparation Agent</w:t>
            </w:r>
          </w:p>
          <w:p>
            <w:pPr>
              <w:spacing w:before="0" w:after="40"/>
            </w:pPr>
            <w:r>
              <w:rPr>
                <w:rFonts w:ascii="Arial" w:cs="Arial" w:eastAsia="Arial" w:hAnsi="Arial"/>
                <w:color w:val="E8EDF2"/>
                <w:sz w:val="19"/>
                <w:szCs w:val="19"/>
              </w:rPr>
              <w:t xml:space="preserve">04  Permit Classifier Agent</w:t>
            </w:r>
          </w:p>
          <w:p>
            <w:r>
              <w:rPr>
                <w:rFonts w:ascii="Arial" w:cs="Arial" w:eastAsia="Arial" w:hAnsi="Arial"/>
                <w:color w:val="F59E0B"/>
                <w:sz w:val="19"/>
                <w:szCs w:val="19"/>
              </w:rPr>
              <w:t xml:space="preserve">05  Pre-Submission Review Agent</w:t>
            </w:r>
          </w:p>
        </w:tc>
        <w:tc>
          <w:tcPr>
            <w:tcW w:type="dxa" w:w="3120"/>
            <w:tcBorders>
              <w:top w:val="single" w:color="2A3547" w:sz="1"/>
              <w:left w:val="single" w:color="2A3547" w:sz="1"/>
              <w:bottom w:val="single" w:color="2A3547" w:sz="1"/>
              <w:right w:val="single" w:color="2A3547" w:sz="1"/>
            </w:tcBorders>
            <w:shd w:fill="1C2333" w:val="clear"/>
            <w:tcMar>
              <w:top w:type="dxa" w:w="100"/>
              <w:left w:type="dxa" w:w="120"/>
              <w:bottom w:type="dxa" w:w="100"/>
              <w:right w:type="dxa" w:w="80"/>
            </w:tcMar>
          </w:tcPr>
          <w:p>
            <w:pPr>
              <w:spacing w:before="0" w:after="40"/>
            </w:pPr>
            <w:r>
              <w:rPr>
                <w:rFonts w:ascii="Arial" w:cs="Arial" w:eastAsia="Arial" w:hAnsi="Arial"/>
                <w:color w:val="E8EDF2"/>
                <w:sz w:val="19"/>
                <w:szCs w:val="19"/>
              </w:rPr>
              <w:t xml:space="preserve">06  Authentication Agent</w:t>
            </w:r>
          </w:p>
          <w:p>
            <w:pPr>
              <w:spacing w:before="0" w:after="40"/>
            </w:pPr>
            <w:r>
              <w:rPr>
                <w:rFonts w:ascii="Arial" w:cs="Arial" w:eastAsia="Arial" w:hAnsi="Arial"/>
                <w:color w:val="E8EDF2"/>
                <w:sz w:val="19"/>
                <w:szCs w:val="19"/>
              </w:rPr>
              <w:t xml:space="preserve">07  Form Filing Agent</w:t>
            </w:r>
          </w:p>
          <w:p>
            <w:r>
              <w:rPr>
                <w:rFonts w:ascii="Arial" w:cs="Arial" w:eastAsia="Arial" w:hAnsi="Arial"/>
                <w:color w:val="E8EDF2"/>
                <w:sz w:val="19"/>
                <w:szCs w:val="19"/>
              </w:rPr>
              <w:t xml:space="preserve">08  Submission Finalization Agent</w:t>
            </w:r>
          </w:p>
        </w:tc>
        <w:tc>
          <w:tcPr>
            <w:tcW w:type="dxa" w:w="3120"/>
            <w:tcBorders>
              <w:top w:val="single" w:color="2A3547" w:sz="1"/>
              <w:left w:val="single" w:color="2A3547" w:sz="1"/>
              <w:bottom w:val="single" w:color="2A3547" w:sz="1"/>
              <w:right w:val="single" w:color="2A3547" w:sz="1"/>
            </w:tcBorders>
            <w:shd w:fill="1C2333" w:val="clear"/>
            <w:tcMar>
              <w:top w:type="dxa" w:w="100"/>
              <w:left w:type="dxa" w:w="120"/>
              <w:bottom w:type="dxa" w:w="100"/>
              <w:right w:type="dxa" w:w="80"/>
            </w:tcMar>
          </w:tcPr>
          <w:p>
            <w:r>
              <w:rPr>
                <w:rFonts w:ascii="Arial" w:cs="Arial" w:eastAsia="Arial" w:hAnsi="Arial"/>
                <w:color w:val="E8EDF2"/>
                <w:sz w:val="19"/>
                <w:szCs w:val="19"/>
              </w:rPr>
              <w:t xml:space="preserve">09  Status Monitor Agent</w:t>
            </w:r>
          </w:p>
        </w:tc>
      </w:tr>
    </w:tbl>
    <w:p>
      <w:pPr>
        <w:spacing w:before="80" w:after="0"/>
      </w:pPr>
      <w:r>
        <w:t xml:space="preserve"/>
      </w:r>
    </w:p>
    <w:p>
      <w:pPr>
        <w:spacing w:before="60" w:after="80"/>
      </w:pPr>
      <w:r>
        <w:rPr>
          <w:rFonts w:ascii="Arial" w:cs="Arial" w:eastAsia="Arial" w:hAnsi="Arial"/>
          <w:color w:val="8B9AB0"/>
          <w:sz w:val="21"/>
          <w:szCs w:val="21"/>
        </w:rPr>
        <w:t xml:space="preserve">Agent 05 (Pre-Submission Review) is shown in yellow because it is the mandatory human checkpoint. No agent in Layer 2 runs until Agent 05 receives explicit human approval.</w:t>
      </w:r>
    </w:p>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3. Agent Specifications</w:t>
      </w:r>
    </w:p>
    <w:p>
      <w:pPr>
        <w:pStyle w:val="Heading2"/>
        <w:spacing w:before="260" w:after="80"/>
      </w:pPr>
      <w:r>
        <w:rPr>
          <w:rFonts w:ascii="Arial" w:cs="Arial" w:eastAsia="Arial" w:hAnsi="Arial"/>
          <w:b/>
          <w:bCs/>
          <w:color w:val="2DD4BF"/>
          <w:sz w:val="26"/>
          <w:szCs w:val="26"/>
        </w:rPr>
        <w:t xml:space="preserve">LAYER 1: PRE-FLIGHT AGENTS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01</w:t>
            </w:r>
          </w:p>
          <w:p>
            <w:pPr>
              <w:spacing w:before="0" w:after="0"/>
            </w:pPr>
            <w:r>
              <w:rPr>
                <w:rFonts w:ascii="Arial" w:cs="Arial" w:eastAsia="Arial" w:hAnsi="Arial"/>
                <w:color w:val="2DD4BF"/>
                <w:sz w:val="17"/>
                <w:szCs w:val="17"/>
              </w:rPr>
              <w:t xml:space="preserve">PRE-FLIGHT</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Property Intelligence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Conducts full property due diligence on the target address before any permit application is started. Identifies zoning district, overlay restrictions, historic district designation, flood hazard zone status, active/previous permits on file, and any Stop Work Orders or enforcement actions. Surfaces any conditions that could delay or prevent permit issuance so the expediter can address them before submission.</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Property address, client project context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Property Intelligence Report: zoning district, overlay list, historic status (Y/N), flood zone status, active permit list, SWO history, advisory flags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Scout (scout.dcra.dc.gov) web scraping | DC Office of Zoning API | DC GIS Property Query | PermitWizard address lookup</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If Scout is unavailable: retry 3x with exponential backoff, then flag for manual lookup and pause workflow. If address returns no results: escalate to human — address may not be in DC parcel database.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ESCALATION: If property is in a Historic District, National Capital Planning Commission zone, or Flood Hazard Area, agent pauses workflow and notifies expediter. These require additional agency review that must be scoped before filing.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02</w:t>
            </w:r>
          </w:p>
          <w:p>
            <w:pPr>
              <w:spacing w:before="0" w:after="0"/>
            </w:pPr>
            <w:r>
              <w:rPr>
                <w:rFonts w:ascii="Arial" w:cs="Arial" w:eastAsia="Arial" w:hAnsi="Arial"/>
                <w:color w:val="2DD4BF"/>
                <w:sz w:val="17"/>
                <w:szCs w:val="17"/>
              </w:rPr>
              <w:t xml:space="preserve">PRE-FLIGHT</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License Validation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Validates every professional and contractor license required for the application against DLCP's live Professional Licensing System and Business Licensing System. Validates: Commun-ET's DOB Permit Expediter registration number, architect/engineer license numbers (if design professional required), contractor DC business license (if contractor identified), master tradesman licenses (for trade permits). Prevents submission of applications with expired or invalid credentials.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List of professionals: name, license type, license number, role on project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Validation report: each license checked with status (Active / Expired / Not Found), expiration date, scope of license, and pass/fail flag</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DLCP Professional Licensing System API | DLCP Business Licensing System | DOB Expediter Registry lookup</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If a license returns Expired: hard stop, notify expediter with expiration date and DLCP renewal link. If license Not Found: flag for manual verification — license may be under a slightly different name. System never submits with an unvalidated license.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HARD GATE: Application cannot proceed if Commun-ET’s own Expediter registration number fails validation. All other license failures generate warnings that must be reviewed before proceeding.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03</w:t>
            </w:r>
          </w:p>
          <w:p>
            <w:pPr>
              <w:spacing w:before="0" w:after="0"/>
            </w:pPr>
            <w:r>
              <w:rPr>
                <w:rFonts w:ascii="Arial" w:cs="Arial" w:eastAsia="Arial" w:hAnsi="Arial"/>
                <w:color w:val="2DD4BF"/>
                <w:sz w:val="17"/>
                <w:szCs w:val="17"/>
              </w:rPr>
              <w:t xml:space="preserve">PRE-FLIGHT</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Document Preparation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Assembles and validates all required documents for the permit application package. Checks that each document is present, in the correct format (PDF preferred, drawings in accepted formats), under file size limits, and properly named. Generates the Environmental Intake Form (EIF) if required based on project scope. Packages documents in the upload sequence expected by PermitWizard and ProjectDox.</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Project drawings/plans (PDF/DWG), cost estimate, contractor contract (if applicable), scope of work description</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Validated document package with: document checklist with pass/fail status, file list with format/size confirmation, EIF if required, ProjectDox upload manifest if project is complex</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PDF validation library | File type/size checker | EIF form generator (based on DOEE criteria) | DC Residential Checklist validation (forms.dc.gov/f/ResidentialChecklist) | Commercial Checklist validation</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Missing required document: add to deficiency list, notify expediter, pause that document’s section. Oversized file: attempt PDF compression; if still oversized, flag for manual resolution. Invalid format: flag with accepted format list.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CHECKLIST GATE: Agent validates against the DOB-published residential or commercial checklist before clearing documents for submission. Any unresolved deficiency blocks progression.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04</w:t>
            </w:r>
          </w:p>
          <w:p>
            <w:pPr>
              <w:spacing w:before="0" w:after="0"/>
            </w:pPr>
            <w:r>
              <w:rPr>
                <w:rFonts w:ascii="Arial" w:cs="Arial" w:eastAsia="Arial" w:hAnsi="Arial"/>
                <w:color w:val="2DD4BF"/>
                <w:sz w:val="17"/>
                <w:szCs w:val="17"/>
              </w:rPr>
              <w:t xml:space="preserve">PRE-FLIGHT</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Permit Classifier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Determines the correct permit type(s) for the project scope and predicts whether the application will route to Digital Walk-Through (1-business-day review) or ProjectDox (multi-discipline complex review). Uses DOB permit type definitions and the scope of work to classify accurately. Also identifies if any sister agency reviews will be required (Historic Preservation, DOEE, DC Water, DDOT) and estimates permit fees using DOB’s Building Permit Fee Schedule.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Project scope of work description, property type (residential/commercial), construction value, prior permits on file (from Agent 01 output)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Recommended permit type(s) with DOB definitions, review track prediction (Walk-Through vs ProjectDox), sister agency review flags, estimated permit fee range, recommended project description language for the application</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DOB Permit Type definitions lookup | DOB Fee Schedule (dob.dc.gov/node/1620346) | Insight™ historical permit database (Commun-ET proprietary) | LLM reasoning for scope-to-type mapping</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If scope is ambiguous: generate top 2 permit type options with confidence scores and surface to expediter for selection. Never auto-select a permit type with confidence below 85%.</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LOW-CONFIDENCE ESCALATION: Permit type selections below 85% confidence are surfaced to the human reviewer at the Agent 05 gate with the reasoning shown and alternatives listed.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05</w:t>
            </w:r>
          </w:p>
          <w:p>
            <w:pPr>
              <w:spacing w:before="0" w:after="0"/>
            </w:pPr>
            <w:r>
              <w:rPr>
                <w:rFonts w:ascii="Arial" w:cs="Arial" w:eastAsia="Arial" w:hAnsi="Arial"/>
                <w:color w:val="F59E0B"/>
                <w:sz w:val="17"/>
                <w:szCs w:val="17"/>
              </w:rPr>
              <w:t xml:space="preserve">⚠️ HUMAN GATE</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Pre-Submission Review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Assembles the complete pre-submission package — all outputs from Agents 01–04 — into a single structured review document for expediter approval. This is the ONLY mandatory human decision gate in the workflow. No portal interaction begins until the expediter reviews and explicitly approves. The agent presents: property intelligence findings, license validation results, document package status, permit type recommendation with confidence score, fee estimate, review track prediction, and any flags or warnings from prior agents.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Outputs from Agents 01, 02, 03, and 04. All must be complete and either passing or with flagged items acknowledged.</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Pre-Submission Approval Package (PDF or Insight™ dashboard card), Approval/Rejection decision from human, optional override notes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Insight™ Platform notification system | Email alert | Insight™ dashboard review UI | PDF generator for the approval package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If expediter does not respond within 24 hours: send reminder. If no response in 48 hours: escalate to managing partner and pause workflow. System never self-approves this gate.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MANDATORY STOP: This gate cannot be bypassed under any circumstances. The human expediter must review and approve before Layer 2 begins. The approval is logged with timestamp, user ID, and any override notes for the project audit trail.</w:t>
            </w:r>
          </w:p>
        </w:tc>
      </w:tr>
    </w:tbl>
    <w:p>
      <w:r>
        <w:br w:type="page"/>
      </w:r>
    </w:p>
    <w:p>
      <w:pPr>
        <w:pStyle w:val="Heading2"/>
        <w:spacing w:before="260" w:after="80"/>
      </w:pPr>
      <w:r>
        <w:rPr>
          <w:rFonts w:ascii="Arial" w:cs="Arial" w:eastAsia="Arial" w:hAnsi="Arial"/>
          <w:b/>
          <w:bCs/>
          <w:color w:val="FF6B2B"/>
          <w:sz w:val="26"/>
          <w:szCs w:val="26"/>
        </w:rPr>
        <w:t xml:space="preserve">LAYER 2: EXECUTION AGENTS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06</w:t>
            </w:r>
          </w:p>
          <w:p>
            <w:pPr>
              <w:spacing w:before="0" w:after="0"/>
            </w:pPr>
            <w:r>
              <w:rPr>
                <w:rFonts w:ascii="Arial" w:cs="Arial" w:eastAsia="Arial" w:hAnsi="Arial"/>
                <w:color w:val="FF6B2B"/>
                <w:sz w:val="17"/>
                <w:szCs w:val="17"/>
              </w:rPr>
              <w:t xml:space="preserve">EXECUTION</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Authentication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Handles the Access DC single sign-on login to PermitWizard on behalf of the authorized filing representative. Manages session persistence, detects session expiration, and re-authenticates as needed throughout the filing workflow. Stores credentials in encrypted vault only — never in application memory or logs.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Encrypted Commun-ET Access DC filing representative credentials from secure vault, target portal URL</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Active authenticated session (session token/cookie), session expiration timestamp, login confirmation log entry</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Browser automation (Playwright) | Encrypted credential vault (e.g. AWS Secrets Manager) | Access DC OAuth flow handler</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Login failure (wrong credentials): hard stop, alert immediately — never retry credentials without human confirmation. CAPTCHA detected: pause, notify expediter to complete CAPTCHA manually, resume after confirmation. Session expiration mid-workflow: re-authenticate and resume from last confirmed step checkpoint.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07</w:t>
            </w:r>
          </w:p>
          <w:p>
            <w:pPr>
              <w:spacing w:before="0" w:after="0"/>
            </w:pPr>
            <w:r>
              <w:rPr>
                <w:rFonts w:ascii="Arial" w:cs="Arial" w:eastAsia="Arial" w:hAnsi="Arial"/>
                <w:color w:val="FF6B2B"/>
                <w:sz w:val="17"/>
                <w:szCs w:val="17"/>
              </w:rPr>
              <w:t xml:space="preserve">EXECUTION</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Form Filing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Navigates the PermitWizard multi-step wizard and completes every form field using the validated data package from Layer 1. This is the most complex agent in the system. It handles: project naming, property address confirmation, permit type selection, scope of work entry, professional identification (expediter registration number, architect/engineer license, contractor business license), cost of construction entry, and document upload. Adapts in real-time to the wizard’s conditional branching — different project types show different question sequences.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Approved pre-submission package from Agent 05 (all field data), validated document package from Agent 03, active authenticated session from Agent 06</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Completed application form (all fields populated, all documents uploaded), screenshot log of each completed wizard step, field-by-field completion audit trail</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Playwright browser automation | DOM element mapping (PermitWizard field selectors) | File upload handler | Conditional logic engine for wizard branching</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Field not found (DOM change): pause workflow, log the missing field with screenshot, notify expediter — portal may have changed. Upload failure: retry 3x, then flag for manual upload. Unexpected validation error from portal: screenshot, log, escalate to expediter with full context. Never skip a required field or substitute placeholder data.</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PORTAL CHANGE DETECTION: If the agent detects that the wizard structure has changed (new fields, changed order, missing steps), it halts immediately and flags for human review before any further form interaction. Portal changes require selector map updates before the agent can proceed.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08</w:t>
            </w:r>
          </w:p>
          <w:p>
            <w:pPr>
              <w:spacing w:before="0" w:after="0"/>
            </w:pPr>
            <w:r>
              <w:rPr>
                <w:rFonts w:ascii="Arial" w:cs="Arial" w:eastAsia="Arial" w:hAnsi="Arial"/>
                <w:color w:val="FF6B2B"/>
                <w:sz w:val="17"/>
                <w:szCs w:val="17"/>
              </w:rPr>
              <w:t xml:space="preserve">EXECUTION</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Submission Finalization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Handles the final submission confirmation step in PermitWizard. Reviews the portal’s application summary page for completeness before clicking submit. Records the Application ID assigned by Accela. Captures confirmation email and submission receipt. Logs all submission details to the Commun-ET project record. If the portal routes the application to ProjectDox, this agent triggers Agent 09 and notifies the expediter of the required next steps.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Completed wizard form (from Agent 07), active authenticated session</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Application ID (Accela-assigned), submission timestamp, confirmation receipt, ProjectDox trigger flag (if applicable), full submission audit record</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Playwright browser automation | Email parser (for confirmation email) | Insight™ project record API (to log Application ID and status)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Portal submission error: screenshot full page, log the error message verbatim, halt — never retry a final submission without human review. Confirmation email not received within 30 minutes: flag for manual verification via Scout lookup. Application ID not captured: attempt Scout address lookup to find the filed record.</w:t>
            </w:r>
          </w:p>
        </w:tc>
      </w:tr>
    </w:tbl>
    <w:p>
      <w:r>
        <w:br w:type="page"/>
      </w:r>
    </w:p>
    <w:p>
      <w:pPr>
        <w:pStyle w:val="Heading2"/>
        <w:spacing w:before="260" w:after="80"/>
      </w:pPr>
      <w:r>
        <w:rPr>
          <w:rFonts w:ascii="Arial" w:cs="Arial" w:eastAsia="Arial" w:hAnsi="Arial"/>
          <w:b/>
          <w:bCs/>
          <w:color w:val="4A9EE0"/>
          <w:sz w:val="26"/>
          <w:szCs w:val="26"/>
        </w:rPr>
        <w:t xml:space="preserve">LAYER 3: POST-SUBMISSION AGENTS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tcPr>
          <w:p>
            <w:r>
              <w:rPr>
                <w:rFonts w:ascii="Arial" w:cs="Arial" w:eastAsia="Arial" w:hAnsi="Arial"/>
                <w:b/>
                <w:bCs/>
                <w:color w:val="FF6B2B"/>
                <w:sz w:val="32"/>
                <w:szCs w:val="32"/>
              </w:rPr>
              <w:t xml:space="preserve">AGENT 09</w:t>
            </w:r>
          </w:p>
          <w:p>
            <w:pPr>
              <w:spacing w:before="0" w:after="0"/>
            </w:pPr>
            <w:r>
              <w:rPr>
                <w:rFonts w:ascii="Arial" w:cs="Arial" w:eastAsia="Arial" w:hAnsi="Arial"/>
                <w:color w:val="4A9EE0"/>
                <w:sz w:val="17"/>
                <w:szCs w:val="17"/>
              </w:rPr>
              <w:t xml:space="preserve">POST-SUBMISSION</w:t>
            </w:r>
          </w:p>
        </w:tc>
        <w:tc>
          <w:tcPr>
            <w:tcW w:type="dxa" w:w="7360"/>
            <w:tcBorders>
              <w:top w:val="none" w:color="FFFFFF" w:sz="0"/>
              <w:left w:val="none" w:color="FFFFFF" w:sz="0"/>
              <w:bottom w:val="none" w:color="FFFFFF" w:sz="0"/>
              <w:right w:val="none" w:color="FFFFFF" w:sz="0"/>
            </w:tcBorders>
            <w:shd w:fill="0D1117" w:val="clear"/>
            <w:tcMar>
              <w:top w:type="dxa" w:w="140"/>
              <w:left w:type="dxa" w:w="120"/>
              <w:bottom w:type="dxa" w:w="140"/>
              <w:right w:type="dxa" w:w="80"/>
            </w:tcMar>
            <w:vAlign w:val="center"/>
          </w:tcPr>
          <w:p>
            <w:r>
              <w:rPr>
                <w:rFonts w:ascii="Arial" w:cs="Arial" w:eastAsia="Arial" w:hAnsi="Arial"/>
                <w:b/>
                <w:bCs/>
                <w:color w:val="E8EDF2"/>
                <w:sz w:val="28"/>
                <w:szCs w:val="28"/>
              </w:rPr>
              <w:t xml:space="preserve">Status Monitor Agent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PURPOSE</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Monitors the application status in Accela via Scout after submission. Tracks the application through all review phases: Accepted → Pre-Screen → Plan Review Assignment → Plan Review → Approved/Conditional → Fee Invoiced → Payment → Permit Issued. Alerts the expediter at each status change. If the application is routed to ProjectDox, monitors that workflow separately. Tracks SLA timelines against DOB’s published Plan Review and Permit Timelines and flags if the application is falling behind schedule.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INPUTS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Application ID, project address, review track (Walk-Through vs ProjectDox), DOB SLA timelines</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OUTPUTS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Status change alerts (email + Insight™ dashboard), SLA breach warnings, ProjectDox upload prompts (if applicable), comment notifications when plan review comments are issued, permit issuance confirmation</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TOOLS / APIs</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Scout web scraping | Accela status polling (every 4 hours for active applications) | ProjectDox status API | Insight™ notification engine | DOB SLA timeline reference</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ERROR HANDLING</w:t>
            </w:r>
          </w:p>
        </w:tc>
        <w:tc>
          <w:tcPr>
            <w:tcW w:type="dxa" w:w="7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Scout unavailable: retry every 60 minutes, log downtime. Status stalled beyond SLA: generate escalation alert with DOB contact information and recommended action. Unexpected status (e.g., Withdrawn, Cancelled): immediate alert to expediter with screenshot.</w:t>
            </w:r>
          </w:p>
        </w:tc>
      </w:tr>
      <w:tr>
        <w:tc>
          <w:tcPr>
            <w:tcW w:type="dxa" w:w="2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FF6B2B"/>
                <w:sz w:val="19"/>
                <w:szCs w:val="19"/>
              </w:rPr>
              <w:t xml:space="preserve">⚠ HUMAN GATE</w:t>
            </w:r>
          </w:p>
        </w:tc>
        <w:tc>
          <w:tcPr>
            <w:tcW w:type="dxa" w:w="7360"/>
            <w:tcBorders>
              <w:top w:val="single" w:color="2A3547" w:sz="1"/>
              <w:left w:val="single" w:color="2A3547" w:sz="1"/>
              <w:bottom w:val="single" w:color="2A3547" w:sz="1"/>
              <w:right w:val="single" w:color="2A3547" w:sz="1"/>
            </w:tcBorders>
            <w:shd w:fill="1A1F2E" w:val="clear"/>
            <w:tcMar>
              <w:top w:type="dxa" w:w="80"/>
              <w:left w:type="dxa" w:w="120"/>
              <w:bottom w:type="dxa" w:w="80"/>
              <w:right w:type="dxa" w:w="80"/>
            </w:tcMar>
          </w:tcPr>
          <w:p>
            <w:r>
              <w:rPr>
                <w:rFonts w:ascii="Arial" w:cs="Arial" w:eastAsia="Arial" w:hAnsi="Arial"/>
                <w:color w:val="8B9AB0"/>
                <w:sz w:val="19"/>
                <w:szCs w:val="19"/>
              </w:rPr>
              <w:t xml:space="preserve">PROJECTDOX TRIGGER: If submission is accepted as a ProjectDox application, this agent generates a ProjectDox upload task with required document list, SLA deadline, and login instructions. The expediter completes the ProjectDox upload — this is a mandatory human action that cannot be automated.</w:t>
            </w:r>
          </w:p>
        </w:tc>
      </w:tr>
    </w:tbl>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4. End-to-End Workflow</w:t>
      </w:r>
    </w:p>
    <w:p>
      <w:pPr>
        <w:spacing w:before="60" w:after="80"/>
      </w:pPr>
      <w:r>
        <w:rPr>
          <w:rFonts w:ascii="Arial" w:cs="Arial" w:eastAsia="Arial" w:hAnsi="Arial"/>
          <w:color w:val="8B9AB0"/>
          <w:sz w:val="21"/>
          <w:szCs w:val="21"/>
        </w:rPr>
        <w:t xml:space="preserve">The complete workflow from intake to permit issuance. Phases 1–3 are fully automated. Phase 4 is the mandatory human gate. Phases 5–6 are automated. Phase 7 requires human action only if the project routes to ProjectDox.</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none" w:color="FFFFFF" w:sz="0"/>
              <w:left w:val="none" w:color="FFFFFF" w:sz="0"/>
              <w:bottom w:val="none" w:color="FFFFFF" w:sz="0"/>
              <w:right w:val="none" w:color="FFFFFF" w:sz="0"/>
            </w:tcBorders>
            <w:shd w:fill="1C2333" w:val="clear"/>
            <w:tcMar>
              <w:top w:type="dxa" w:w="100"/>
              <w:left w:type="dxa" w:w="80"/>
              <w:bottom w:type="dxa" w:w="100"/>
              <w:right w:type="dxa" w:w="80"/>
            </w:tcMar>
          </w:tcPr>
          <w:p>
            <w:pPr>
              <w:spacing w:before="0" w:after="20"/>
              <w:jc w:val="center"/>
            </w:pPr>
            <w:r>
              <w:rPr>
                <w:rFonts w:ascii="Arial" w:cs="Arial" w:eastAsia="Arial" w:hAnsi="Arial"/>
                <w:b/>
                <w:bCs/>
                <w:color w:val="2DD4BF"/>
                <w:sz w:val="24"/>
                <w:szCs w:val="24"/>
              </w:rPr>
              <w:t xml:space="preserve">1</w:t>
            </w:r>
          </w:p>
          <w:p>
            <w:pPr>
              <w:spacing w:before="0" w:after="10"/>
              <w:jc w:val="center"/>
            </w:pPr>
            <w:r>
              <w:rPr>
                <w:rFonts w:ascii="Arial" w:cs="Arial" w:eastAsia="Arial" w:hAnsi="Arial"/>
                <w:b/>
                <w:bCs/>
                <w:color w:val="E8EDF2"/>
                <w:sz w:val="18"/>
                <w:szCs w:val="18"/>
              </w:rPr>
              <w:t xml:space="preserve">Client Intake</w:t>
            </w:r>
          </w:p>
          <w:p>
            <w:pPr>
              <w:jc w:val="center"/>
            </w:pPr>
            <w:r>
              <w:rPr>
                <w:rFonts w:ascii="Arial" w:cs="Arial" w:eastAsia="Arial" w:hAnsi="Arial"/>
                <w:color w:val="8B9AB0"/>
                <w:sz w:val="16"/>
                <w:szCs w:val="16"/>
              </w:rPr>
              <w:t xml:space="preserve">Project data collected</w:t>
            </w:r>
          </w:p>
        </w:tc>
        <w:tc>
          <w:tcPr>
            <w:tcW w:type="dxa" w:w="1040"/>
            <w:tcBorders>
              <w:top w:val="none" w:color="FFFFFF" w:sz="0"/>
              <w:left w:val="none" w:color="FFFFFF" w:sz="0"/>
              <w:bottom w:val="none" w:color="FFFFFF" w:sz="0"/>
              <w:right w:val="none" w:color="FFFFFF" w:sz="0"/>
            </w:tcBorders>
            <w:shd w:fill="161B22" w:val="clear"/>
            <w:tcMar>
              <w:top w:type="dxa" w:w="100"/>
              <w:left w:type="dxa" w:w="80"/>
              <w:bottom w:type="dxa" w:w="100"/>
              <w:right w:type="dxa" w:w="80"/>
            </w:tcMar>
          </w:tcPr>
          <w:p>
            <w:pPr>
              <w:spacing w:before="0" w:after="20"/>
              <w:jc w:val="center"/>
            </w:pPr>
            <w:r>
              <w:rPr>
                <w:rFonts w:ascii="Arial" w:cs="Arial" w:eastAsia="Arial" w:hAnsi="Arial"/>
                <w:b/>
                <w:bCs/>
                <w:color w:val="8B9AB0"/>
                <w:sz w:val="24"/>
                <w:szCs w:val="24"/>
              </w:rPr>
              <w:t xml:space="preserve">→</w:t>
            </w:r>
          </w:p>
          <w:p>
            <w:pPr>
              <w:spacing w:before="0" w:after="10"/>
              <w:jc w:val="center"/>
            </w:pPr>
            <w:r>
              <w:rPr>
                <w:rFonts w:ascii="Arial" w:cs="Arial" w:eastAsia="Arial" w:hAnsi="Arial"/>
                <w:b/>
                <w:bCs/>
                <w:color w:val="E8EDF2"/>
                <w:sz w:val="18"/>
                <w:szCs w:val="18"/>
              </w:rPr>
              <w:t xml:space="preserve"/>
            </w:r>
          </w:p>
          <w:p>
            <w:pPr>
              <w:jc w:val="center"/>
            </w:pPr>
            <w:r>
              <w:rPr>
                <w:rFonts w:ascii="Arial" w:cs="Arial" w:eastAsia="Arial" w:hAnsi="Arial"/>
                <w:color w:val="8B9AB0"/>
                <w:sz w:val="16"/>
                <w:szCs w:val="16"/>
              </w:rPr>
              <w:t xml:space="preserve"/>
            </w:r>
          </w:p>
        </w:tc>
        <w:tc>
          <w:tcPr>
            <w:tcW w:type="dxa" w:w="1040"/>
            <w:tcBorders>
              <w:top w:val="none" w:color="FFFFFF" w:sz="0"/>
              <w:left w:val="none" w:color="FFFFFF" w:sz="0"/>
              <w:bottom w:val="none" w:color="FFFFFF" w:sz="0"/>
              <w:right w:val="none" w:color="FFFFFF" w:sz="0"/>
            </w:tcBorders>
            <w:shd w:fill="1C2333" w:val="clear"/>
            <w:tcMar>
              <w:top w:type="dxa" w:w="100"/>
              <w:left w:type="dxa" w:w="80"/>
              <w:bottom w:type="dxa" w:w="100"/>
              <w:right w:type="dxa" w:w="80"/>
            </w:tcMar>
          </w:tcPr>
          <w:p>
            <w:pPr>
              <w:spacing w:before="0" w:after="20"/>
              <w:jc w:val="center"/>
            </w:pPr>
            <w:r>
              <w:rPr>
                <w:rFonts w:ascii="Arial" w:cs="Arial" w:eastAsia="Arial" w:hAnsi="Arial"/>
                <w:b/>
                <w:bCs/>
                <w:color w:val="2DD4BF"/>
                <w:sz w:val="24"/>
                <w:szCs w:val="24"/>
              </w:rPr>
              <w:t xml:space="preserve">2</w:t>
            </w:r>
          </w:p>
          <w:p>
            <w:pPr>
              <w:spacing w:before="0" w:after="10"/>
              <w:jc w:val="center"/>
            </w:pPr>
            <w:r>
              <w:rPr>
                <w:rFonts w:ascii="Arial" w:cs="Arial" w:eastAsia="Arial" w:hAnsi="Arial"/>
                <w:b/>
                <w:bCs/>
                <w:color w:val="E8EDF2"/>
                <w:sz w:val="18"/>
                <w:szCs w:val="18"/>
              </w:rPr>
              <w:t xml:space="preserve">Pre-Flight</w:t>
            </w:r>
          </w:p>
          <w:p>
            <w:pPr>
              <w:jc w:val="center"/>
            </w:pPr>
            <w:r>
              <w:rPr>
                <w:rFonts w:ascii="Arial" w:cs="Arial" w:eastAsia="Arial" w:hAnsi="Arial"/>
                <w:color w:val="8B9AB0"/>
                <w:sz w:val="16"/>
                <w:szCs w:val="16"/>
              </w:rPr>
              <w:t xml:space="preserve">Agents 01–04 run</w:t>
            </w:r>
          </w:p>
        </w:tc>
        <w:tc>
          <w:tcPr>
            <w:tcW w:type="dxa" w:w="1040"/>
            <w:tcBorders>
              <w:top w:val="none" w:color="FFFFFF" w:sz="0"/>
              <w:left w:val="none" w:color="FFFFFF" w:sz="0"/>
              <w:bottom w:val="none" w:color="FFFFFF" w:sz="0"/>
              <w:right w:val="none" w:color="FFFFFF" w:sz="0"/>
            </w:tcBorders>
            <w:shd w:fill="161B22" w:val="clear"/>
            <w:tcMar>
              <w:top w:type="dxa" w:w="100"/>
              <w:left w:type="dxa" w:w="80"/>
              <w:bottom w:type="dxa" w:w="100"/>
              <w:right w:type="dxa" w:w="80"/>
            </w:tcMar>
          </w:tcPr>
          <w:p>
            <w:pPr>
              <w:spacing w:before="0" w:after="20"/>
              <w:jc w:val="center"/>
            </w:pPr>
            <w:r>
              <w:rPr>
                <w:rFonts w:ascii="Arial" w:cs="Arial" w:eastAsia="Arial" w:hAnsi="Arial"/>
                <w:b/>
                <w:bCs/>
                <w:color w:val="8B9AB0"/>
                <w:sz w:val="24"/>
                <w:szCs w:val="24"/>
              </w:rPr>
              <w:t xml:space="preserve">→</w:t>
            </w:r>
          </w:p>
          <w:p>
            <w:pPr>
              <w:spacing w:before="0" w:after="10"/>
              <w:jc w:val="center"/>
            </w:pPr>
            <w:r>
              <w:rPr>
                <w:rFonts w:ascii="Arial" w:cs="Arial" w:eastAsia="Arial" w:hAnsi="Arial"/>
                <w:b/>
                <w:bCs/>
                <w:color w:val="E8EDF2"/>
                <w:sz w:val="18"/>
                <w:szCs w:val="18"/>
              </w:rPr>
              <w:t xml:space="preserve"/>
            </w:r>
          </w:p>
          <w:p>
            <w:pPr>
              <w:jc w:val="center"/>
            </w:pPr>
            <w:r>
              <w:rPr>
                <w:rFonts w:ascii="Arial" w:cs="Arial" w:eastAsia="Arial" w:hAnsi="Arial"/>
                <w:color w:val="8B9AB0"/>
                <w:sz w:val="16"/>
                <w:szCs w:val="16"/>
              </w:rPr>
              <w:t xml:space="preserve"/>
            </w:r>
          </w:p>
        </w:tc>
        <w:tc>
          <w:tcPr>
            <w:tcW w:type="dxa" w:w="1040"/>
            <w:tcBorders>
              <w:top w:val="none" w:color="FFFFFF" w:sz="0"/>
              <w:left w:val="none" w:color="FFFFFF" w:sz="0"/>
              <w:bottom w:val="none" w:color="FFFFFF" w:sz="0"/>
              <w:right w:val="none" w:color="FFFFFF" w:sz="0"/>
            </w:tcBorders>
            <w:shd w:fill="1C2333" w:val="clear"/>
            <w:tcMar>
              <w:top w:type="dxa" w:w="100"/>
              <w:left w:type="dxa" w:w="80"/>
              <w:bottom w:type="dxa" w:w="100"/>
              <w:right w:type="dxa" w:w="80"/>
            </w:tcMar>
          </w:tcPr>
          <w:p>
            <w:pPr>
              <w:spacing w:before="0" w:after="20"/>
              <w:jc w:val="center"/>
            </w:pPr>
            <w:r>
              <w:rPr>
                <w:rFonts w:ascii="Arial" w:cs="Arial" w:eastAsia="Arial" w:hAnsi="Arial"/>
                <w:b/>
                <w:bCs/>
                <w:color w:val="F59E0B"/>
                <w:sz w:val="24"/>
                <w:szCs w:val="24"/>
              </w:rPr>
              <w:t xml:space="preserve">3</w:t>
            </w:r>
          </w:p>
          <w:p>
            <w:pPr>
              <w:spacing w:before="0" w:after="10"/>
              <w:jc w:val="center"/>
            </w:pPr>
            <w:r>
              <w:rPr>
                <w:rFonts w:ascii="Arial" w:cs="Arial" w:eastAsia="Arial" w:hAnsi="Arial"/>
                <w:b/>
                <w:bCs/>
                <w:color w:val="E8EDF2"/>
                <w:sz w:val="18"/>
                <w:szCs w:val="18"/>
              </w:rPr>
              <w:t xml:space="preserve">Human Gate</w:t>
            </w:r>
          </w:p>
          <w:p>
            <w:pPr>
              <w:jc w:val="center"/>
            </w:pPr>
            <w:r>
              <w:rPr>
                <w:rFonts w:ascii="Arial" w:cs="Arial" w:eastAsia="Arial" w:hAnsi="Arial"/>
                <w:color w:val="8B9AB0"/>
                <w:sz w:val="16"/>
                <w:szCs w:val="16"/>
              </w:rPr>
              <w:t xml:space="preserve">Agent 05 review</w:t>
            </w:r>
          </w:p>
        </w:tc>
        <w:tc>
          <w:tcPr>
            <w:tcW w:type="dxa" w:w="1040"/>
            <w:tcBorders>
              <w:top w:val="none" w:color="FFFFFF" w:sz="0"/>
              <w:left w:val="none" w:color="FFFFFF" w:sz="0"/>
              <w:bottom w:val="none" w:color="FFFFFF" w:sz="0"/>
              <w:right w:val="none" w:color="FFFFFF" w:sz="0"/>
            </w:tcBorders>
            <w:shd w:fill="161B22" w:val="clear"/>
            <w:tcMar>
              <w:top w:type="dxa" w:w="100"/>
              <w:left w:type="dxa" w:w="80"/>
              <w:bottom w:type="dxa" w:w="100"/>
              <w:right w:type="dxa" w:w="80"/>
            </w:tcMar>
          </w:tcPr>
          <w:p>
            <w:pPr>
              <w:spacing w:before="0" w:after="20"/>
              <w:jc w:val="center"/>
            </w:pPr>
            <w:r>
              <w:rPr>
                <w:rFonts w:ascii="Arial" w:cs="Arial" w:eastAsia="Arial" w:hAnsi="Arial"/>
                <w:b/>
                <w:bCs/>
                <w:color w:val="8B9AB0"/>
                <w:sz w:val="24"/>
                <w:szCs w:val="24"/>
              </w:rPr>
              <w:t xml:space="preserve">→</w:t>
            </w:r>
          </w:p>
          <w:p>
            <w:pPr>
              <w:spacing w:before="0" w:after="10"/>
              <w:jc w:val="center"/>
            </w:pPr>
            <w:r>
              <w:rPr>
                <w:rFonts w:ascii="Arial" w:cs="Arial" w:eastAsia="Arial" w:hAnsi="Arial"/>
                <w:b/>
                <w:bCs/>
                <w:color w:val="E8EDF2"/>
                <w:sz w:val="18"/>
                <w:szCs w:val="18"/>
              </w:rPr>
              <w:t xml:space="preserve"/>
            </w:r>
          </w:p>
          <w:p>
            <w:pPr>
              <w:jc w:val="center"/>
            </w:pPr>
            <w:r>
              <w:rPr>
                <w:rFonts w:ascii="Arial" w:cs="Arial" w:eastAsia="Arial" w:hAnsi="Arial"/>
                <w:color w:val="8B9AB0"/>
                <w:sz w:val="16"/>
                <w:szCs w:val="16"/>
              </w:rPr>
              <w:t xml:space="preserve"/>
            </w:r>
          </w:p>
        </w:tc>
        <w:tc>
          <w:tcPr>
            <w:tcW w:type="dxa" w:w="1040"/>
            <w:tcBorders>
              <w:top w:val="none" w:color="FFFFFF" w:sz="0"/>
              <w:left w:val="none" w:color="FFFFFF" w:sz="0"/>
              <w:bottom w:val="none" w:color="FFFFFF" w:sz="0"/>
              <w:right w:val="none" w:color="FFFFFF" w:sz="0"/>
            </w:tcBorders>
            <w:shd w:fill="1C2333" w:val="clear"/>
            <w:tcMar>
              <w:top w:type="dxa" w:w="100"/>
              <w:left w:type="dxa" w:w="80"/>
              <w:bottom w:type="dxa" w:w="100"/>
              <w:right w:type="dxa" w:w="80"/>
            </w:tcMar>
          </w:tcPr>
          <w:p>
            <w:pPr>
              <w:spacing w:before="0" w:after="20"/>
              <w:jc w:val="center"/>
            </w:pPr>
            <w:r>
              <w:rPr>
                <w:rFonts w:ascii="Arial" w:cs="Arial" w:eastAsia="Arial" w:hAnsi="Arial"/>
                <w:b/>
                <w:bCs/>
                <w:color w:val="FF6B2B"/>
                <w:sz w:val="24"/>
                <w:szCs w:val="24"/>
              </w:rPr>
              <w:t xml:space="preserve">4</w:t>
            </w:r>
          </w:p>
          <w:p>
            <w:pPr>
              <w:spacing w:before="0" w:after="10"/>
              <w:jc w:val="center"/>
            </w:pPr>
            <w:r>
              <w:rPr>
                <w:rFonts w:ascii="Arial" w:cs="Arial" w:eastAsia="Arial" w:hAnsi="Arial"/>
                <w:b/>
                <w:bCs/>
                <w:color w:val="E8EDF2"/>
                <w:sz w:val="18"/>
                <w:szCs w:val="18"/>
              </w:rPr>
              <w:t xml:space="preserve">Portal Filing</w:t>
            </w:r>
          </w:p>
          <w:p>
            <w:pPr>
              <w:jc w:val="center"/>
            </w:pPr>
            <w:r>
              <w:rPr>
                <w:rFonts w:ascii="Arial" w:cs="Arial" w:eastAsia="Arial" w:hAnsi="Arial"/>
                <w:color w:val="8B9AB0"/>
                <w:sz w:val="16"/>
                <w:szCs w:val="16"/>
              </w:rPr>
              <w:t xml:space="preserve">Agents 06–08</w:t>
            </w:r>
          </w:p>
        </w:tc>
        <w:tc>
          <w:tcPr>
            <w:tcW w:type="dxa" w:w="1040"/>
            <w:tcBorders>
              <w:top w:val="none" w:color="FFFFFF" w:sz="0"/>
              <w:left w:val="none" w:color="FFFFFF" w:sz="0"/>
              <w:bottom w:val="none" w:color="FFFFFF" w:sz="0"/>
              <w:right w:val="none" w:color="FFFFFF" w:sz="0"/>
            </w:tcBorders>
            <w:shd w:fill="161B22" w:val="clear"/>
            <w:tcMar>
              <w:top w:type="dxa" w:w="100"/>
              <w:left w:type="dxa" w:w="80"/>
              <w:bottom w:type="dxa" w:w="100"/>
              <w:right w:type="dxa" w:w="80"/>
            </w:tcMar>
          </w:tcPr>
          <w:p>
            <w:pPr>
              <w:spacing w:before="0" w:after="20"/>
              <w:jc w:val="center"/>
            </w:pPr>
            <w:r>
              <w:rPr>
                <w:rFonts w:ascii="Arial" w:cs="Arial" w:eastAsia="Arial" w:hAnsi="Arial"/>
                <w:b/>
                <w:bCs/>
                <w:color w:val="8B9AB0"/>
                <w:sz w:val="24"/>
                <w:szCs w:val="24"/>
              </w:rPr>
              <w:t xml:space="preserve">→</w:t>
            </w:r>
          </w:p>
          <w:p>
            <w:pPr>
              <w:spacing w:before="0" w:after="10"/>
              <w:jc w:val="center"/>
            </w:pPr>
            <w:r>
              <w:rPr>
                <w:rFonts w:ascii="Arial" w:cs="Arial" w:eastAsia="Arial" w:hAnsi="Arial"/>
                <w:b/>
                <w:bCs/>
                <w:color w:val="E8EDF2"/>
                <w:sz w:val="18"/>
                <w:szCs w:val="18"/>
              </w:rPr>
              <w:t xml:space="preserve"/>
            </w:r>
          </w:p>
          <w:p>
            <w:pPr>
              <w:jc w:val="center"/>
            </w:pPr>
            <w:r>
              <w:rPr>
                <w:rFonts w:ascii="Arial" w:cs="Arial" w:eastAsia="Arial" w:hAnsi="Arial"/>
                <w:color w:val="8B9AB0"/>
                <w:sz w:val="16"/>
                <w:szCs w:val="16"/>
              </w:rPr>
              <w:t xml:space="preserve"/>
            </w:r>
          </w:p>
        </w:tc>
        <w:tc>
          <w:tcPr>
            <w:tcW w:type="dxa" w:w="1040"/>
            <w:tcBorders>
              <w:top w:val="none" w:color="FFFFFF" w:sz="0"/>
              <w:left w:val="none" w:color="FFFFFF" w:sz="0"/>
              <w:bottom w:val="none" w:color="FFFFFF" w:sz="0"/>
              <w:right w:val="none" w:color="FFFFFF" w:sz="0"/>
            </w:tcBorders>
            <w:shd w:fill="1C2333" w:val="clear"/>
            <w:tcMar>
              <w:top w:type="dxa" w:w="100"/>
              <w:left w:type="dxa" w:w="80"/>
              <w:bottom w:type="dxa" w:w="100"/>
              <w:right w:type="dxa" w:w="80"/>
            </w:tcMar>
          </w:tcPr>
          <w:p>
            <w:pPr>
              <w:spacing w:before="0" w:after="20"/>
              <w:jc w:val="center"/>
            </w:pPr>
            <w:r>
              <w:rPr>
                <w:rFonts w:ascii="Arial" w:cs="Arial" w:eastAsia="Arial" w:hAnsi="Arial"/>
                <w:b/>
                <w:bCs/>
                <w:color w:val="4A9EE0"/>
                <w:sz w:val="24"/>
                <w:szCs w:val="24"/>
              </w:rPr>
              <w:t xml:space="preserve">5</w:t>
            </w:r>
          </w:p>
          <w:p>
            <w:pPr>
              <w:spacing w:before="0" w:after="10"/>
              <w:jc w:val="center"/>
            </w:pPr>
            <w:r>
              <w:rPr>
                <w:rFonts w:ascii="Arial" w:cs="Arial" w:eastAsia="Arial" w:hAnsi="Arial"/>
                <w:b/>
                <w:bCs/>
                <w:color w:val="E8EDF2"/>
                <w:sz w:val="18"/>
                <w:szCs w:val="18"/>
              </w:rPr>
              <w:t xml:space="preserve">Monitoring</w:t>
            </w:r>
          </w:p>
          <w:p>
            <w:pPr>
              <w:jc w:val="center"/>
            </w:pPr>
            <w:r>
              <w:rPr>
                <w:rFonts w:ascii="Arial" w:cs="Arial" w:eastAsia="Arial" w:hAnsi="Arial"/>
                <w:color w:val="8B9AB0"/>
                <w:sz w:val="16"/>
                <w:szCs w:val="16"/>
              </w:rPr>
              <w:t xml:space="preserve">Agent 09</w:t>
            </w:r>
          </w:p>
        </w:tc>
      </w:tr>
    </w:tbl>
    <w:p>
      <w:pPr>
        <w:spacing w:before="120" w:after="0"/>
      </w:pPr>
      <w:r>
        <w:t xml:space="preserve"/>
      </w:r>
    </w:p>
    <w:p>
      <w:pPr>
        <w:spacing w:before="180" w:after="60"/>
      </w:pPr>
      <w:r>
        <w:rPr>
          <w:rFonts w:ascii="Arial" w:cs="Arial" w:eastAsia="Arial" w:hAnsi="Arial"/>
          <w:b/>
          <w:bCs/>
          <w:color w:val="4A9EE0"/>
          <w:sz w:val="22"/>
          <w:szCs w:val="22"/>
        </w:rPr>
        <w:t xml:space="preserve">Phase 1: Client Intake</w:t>
      </w:r>
    </w:p>
    <w:p>
      <w:pPr>
        <w:spacing w:before="60" w:after="80"/>
      </w:pPr>
      <w:r>
        <w:rPr>
          <w:rFonts w:ascii="Arial" w:cs="Arial" w:eastAsia="Arial" w:hAnsi="Arial"/>
          <w:color w:val="8B9AB0"/>
          <w:sz w:val="21"/>
          <w:szCs w:val="21"/>
        </w:rPr>
        <w:t xml:space="preserve">Expediter collects the following from the client before triggering the agent system. This is a human-driven intake — the agents cannot begin without this data package being confirmed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Data Item</w:t>
            </w:r>
          </w:p>
        </w:tc>
        <w:tc>
          <w:tcPr>
            <w:tcW w:type="dxa" w:w="656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Notes / Requirements</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Property address (DC)</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Full DC street address. Must be a valid DC parcel address.</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Project scope of work</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Plain-language description. Be specific — the Permit Classifier uses this for type selection.</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Estimated construction cost</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Required at time of submission. Supporting docs must be uploaded.</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Project type</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Residential (1-2 family) | Commercial | Trade only | Solar | Demo/Raze</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Design professional info</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Name, license type, DC license number, email (if applicable)</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Contractor info</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Name, DC business license number, email (optional at filing, required before issuance)</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Project drawings/plans</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PDF preferred. Must meet DOB checklist requirements for the project type.</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Signed construction contract</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Required before permit issuance (can be provided post-filing)</w:t>
            </w:r>
          </w:p>
        </w:tc>
      </w:tr>
      <w:tr>
        <w:tc>
          <w:tcPr>
            <w:tcW w:type="dxa" w:w="2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Client's Access DC account OR authorization to file as expediter representative</w:t>
            </w:r>
          </w:p>
        </w:tc>
        <w:tc>
          <w:tcPr>
            <w:tcW w:type="dxa" w:w="6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Commun-ET files as the authorized filing representative using its own registered expediter account</w:t>
            </w:r>
          </w:p>
        </w:tc>
      </w:tr>
    </w:tbl>
    <w:p>
      <w:pPr>
        <w:spacing w:before="160" w:after="0"/>
      </w:pPr>
      <w:r>
        <w:t xml:space="preserve"/>
      </w:r>
    </w:p>
    <w:p>
      <w:pPr>
        <w:spacing w:before="180" w:after="60"/>
      </w:pPr>
      <w:r>
        <w:rPr>
          <w:rFonts w:ascii="Arial" w:cs="Arial" w:eastAsia="Arial" w:hAnsi="Arial"/>
          <w:b/>
          <w:bCs/>
          <w:color w:val="4A9EE0"/>
          <w:sz w:val="22"/>
          <w:szCs w:val="22"/>
        </w:rPr>
        <w:t xml:space="preserve">Phase 2: Pre-Flight Intelligence Run</w:t>
      </w:r>
    </w:p>
    <w:p>
      <w:pPr>
        <w:spacing w:before="60" w:after="80"/>
      </w:pPr>
      <w:r>
        <w:rPr>
          <w:rFonts w:ascii="Arial" w:cs="Arial" w:eastAsia="Arial" w:hAnsi="Arial"/>
          <w:color w:val="8B9AB0"/>
          <w:sz w:val="21"/>
          <w:szCs w:val="21"/>
        </w:rPr>
        <w:t xml:space="preserve">Agents 01 through 04 run in parallel where possible. Agent 03 (Document Prep) can run concurrent with Agents 01 and 02. Agent 04 (Permit Classifier) waits for Agent 01 output before running. Estimated runtime: 3–8 minutes for a standard residential project.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Agent</w:t>
            </w:r>
          </w:p>
        </w:tc>
        <w:tc>
          <w:tcPr>
            <w:tcW w:type="dxa" w:w="30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Runs After</w:t>
            </w:r>
          </w:p>
        </w:tc>
        <w:tc>
          <w:tcPr>
            <w:tcW w:type="dxa" w:w="386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Estimated Runtime</w:t>
            </w:r>
          </w:p>
        </w:tc>
      </w:tr>
      <w:tr>
        <w:tc>
          <w:tcPr>
            <w:tcW w:type="dxa" w:w="25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01 Property Intelligence</w:t>
            </w:r>
          </w:p>
        </w:tc>
        <w:tc>
          <w:tcPr>
            <w:tcW w:type="dxa" w:w="30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Project intake confirmed</w:t>
            </w:r>
          </w:p>
        </w:tc>
        <w:tc>
          <w:tcPr>
            <w:tcW w:type="dxa" w:w="38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1–2 min (Scout + zoning APIs)</w:t>
            </w:r>
          </w:p>
        </w:tc>
      </w:tr>
      <w:tr>
        <w:tc>
          <w:tcPr>
            <w:tcW w:type="dxa" w:w="25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02 License Validation</w:t>
            </w:r>
          </w:p>
        </w:tc>
        <w:tc>
          <w:tcPr>
            <w:tcW w:type="dxa" w:w="30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Professional list confirmed</w:t>
            </w:r>
          </w:p>
        </w:tc>
        <w:tc>
          <w:tcPr>
            <w:tcW w:type="dxa" w:w="38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1–2 min (DLCP API calls)</w:t>
            </w:r>
          </w:p>
        </w:tc>
      </w:tr>
      <w:tr>
        <w:tc>
          <w:tcPr>
            <w:tcW w:type="dxa" w:w="25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03 Document Preparation</w:t>
            </w:r>
          </w:p>
        </w:tc>
        <w:tc>
          <w:tcPr>
            <w:tcW w:type="dxa" w:w="30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Documents uploaded to Insight™</w:t>
            </w:r>
          </w:p>
        </w:tc>
        <w:tc>
          <w:tcPr>
            <w:tcW w:type="dxa" w:w="38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2–5 min (validation + EIF generation)</w:t>
            </w:r>
          </w:p>
        </w:tc>
      </w:tr>
      <w:tr>
        <w:tc>
          <w:tcPr>
            <w:tcW w:type="dxa" w:w="25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04 Permit Classifier</w:t>
            </w:r>
          </w:p>
        </w:tc>
        <w:tc>
          <w:tcPr>
            <w:tcW w:type="dxa" w:w="30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Agent 01 complete</w:t>
            </w:r>
          </w:p>
        </w:tc>
        <w:tc>
          <w:tcPr>
            <w:tcW w:type="dxa" w:w="38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30–60 sec (classification + fee lookup)</w:t>
            </w:r>
          </w:p>
        </w:tc>
      </w:tr>
      <w:tr>
        <w:tc>
          <w:tcPr>
            <w:tcW w:type="dxa" w:w="25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05 Pre-Submission Review</w:t>
            </w:r>
          </w:p>
        </w:tc>
        <w:tc>
          <w:tcPr>
            <w:tcW w:type="dxa" w:w="300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Agents 01–04 all complete</w:t>
            </w:r>
          </w:p>
        </w:tc>
        <w:tc>
          <w:tcPr>
            <w:tcW w:type="dxa" w:w="38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Human review time (target &lt; 10 min)</w:t>
            </w:r>
          </w:p>
        </w:tc>
      </w:tr>
    </w:tbl>
    <w:p>
      <w:pPr>
        <w:spacing w:before="160" w:after="0"/>
      </w:pPr>
      <w:r>
        <w:t xml:space="preserve"/>
      </w:r>
    </w:p>
    <w:p>
      <w:pPr>
        <w:spacing w:before="180" w:after="60"/>
      </w:pPr>
      <w:r>
        <w:rPr>
          <w:rFonts w:ascii="Arial" w:cs="Arial" w:eastAsia="Arial" w:hAnsi="Arial"/>
          <w:b/>
          <w:bCs/>
          <w:color w:val="4A9EE0"/>
          <w:sz w:val="22"/>
          <w:szCs w:val="22"/>
        </w:rPr>
        <w:t xml:space="preserve">Phase 3: Human Review Gate (Agent 05)</w:t>
      </w:r>
    </w:p>
    <w:p>
      <w:pPr>
        <w:spacing w:before="60" w:after="80"/>
      </w:pPr>
      <w:r>
        <w:rPr>
          <w:rFonts w:ascii="Arial" w:cs="Arial" w:eastAsia="Arial" w:hAnsi="Arial"/>
          <w:color w:val="8B9AB0"/>
          <w:sz w:val="21"/>
          <w:szCs w:val="21"/>
        </w:rPr>
        <w:t xml:space="preserve">The expediter receives a Pre-Submission Approval Package via the Insight™ dashboard and email. The package includes all agent outputs in a single structured view. The expediter has three actions:</w:t>
      </w:r>
    </w:p>
    <w:p>
      <w:pPr>
        <w:pStyle w:val="ListParagraph"/>
        <w:numPr>
          <w:ilvl w:val="0"/>
          <w:numId w:val="2"/>
        </w:numPr>
        <w:spacing w:before="40" w:after="40"/>
      </w:pPr>
      <w:r>
        <w:rPr>
          <w:rFonts w:ascii="Arial" w:cs="Arial" w:eastAsia="Arial" w:hAnsi="Arial"/>
          <w:color w:val="8B9AB0"/>
          <w:sz w:val="21"/>
          <w:szCs w:val="21"/>
        </w:rPr>
        <w:t xml:space="preserve">APPROVE: Proceed to portal filing. Layer 2 begins immediately.</w:t>
      </w:r>
    </w:p>
    <w:p>
      <w:pPr>
        <w:pStyle w:val="ListParagraph"/>
        <w:numPr>
          <w:ilvl w:val="0"/>
          <w:numId w:val="2"/>
        </w:numPr>
        <w:spacing w:before="40" w:after="40"/>
      </w:pPr>
      <w:r>
        <w:rPr>
          <w:rFonts w:ascii="Arial" w:cs="Arial" w:eastAsia="Arial" w:hAnsi="Arial"/>
          <w:color w:val="8B9AB0"/>
          <w:sz w:val="21"/>
          <w:szCs w:val="21"/>
        </w:rPr>
        <w:t xml:space="preserve">APPROVE WITH NOTES: Proceed with specific override instructions for Agent 07 (e.g., use a different scope description, select alternate permit type).</w:t>
      </w:r>
    </w:p>
    <w:p>
      <w:pPr>
        <w:pStyle w:val="ListParagraph"/>
        <w:numPr>
          <w:ilvl w:val="0"/>
          <w:numId w:val="2"/>
        </w:numPr>
        <w:spacing w:before="40" w:after="40"/>
      </w:pPr>
      <w:r>
        <w:rPr>
          <w:rFonts w:ascii="Arial" w:cs="Arial" w:eastAsia="Arial" w:hAnsi="Arial"/>
          <w:color w:val="8B9AB0"/>
          <w:sz w:val="21"/>
          <w:szCs w:val="21"/>
        </w:rPr>
        <w:t xml:space="preserve">REJECT: Return to pre-flight with revised data. All agents re-run after corrections are made.</w:t>
      </w:r>
    </w:p>
    <w:p>
      <w:pPr>
        <w:spacing w:before="160" w:after="0"/>
      </w:pPr>
      <w:r>
        <w:t xml:space="preserve"/>
      </w:r>
    </w:p>
    <w:p>
      <w:pPr>
        <w:spacing w:before="180" w:after="60"/>
      </w:pPr>
      <w:r>
        <w:rPr>
          <w:rFonts w:ascii="Arial" w:cs="Arial" w:eastAsia="Arial" w:hAnsi="Arial"/>
          <w:b/>
          <w:bCs/>
          <w:color w:val="4A9EE0"/>
          <w:sz w:val="22"/>
          <w:szCs w:val="22"/>
        </w:rPr>
        <w:t xml:space="preserve">Phase 4: Portal Filing (Agents 06-08)</w:t>
      </w:r>
    </w:p>
    <w:p>
      <w:pPr>
        <w:spacing w:before="60" w:after="80"/>
      </w:pPr>
      <w:r>
        <w:rPr>
          <w:rFonts w:ascii="Arial" w:cs="Arial" w:eastAsia="Arial" w:hAnsi="Arial"/>
          <w:color w:val="8B9AB0"/>
          <w:sz w:val="21"/>
          <w:szCs w:val="21"/>
        </w:rPr>
        <w:t xml:space="preserve">Agents 06, 07, and 08 run sequentially. Agent 06 authenticates. Agent 07 completes the wizard. Agent 08 finalizes submission and captures the Application ID. Estimated runtime: 5–15 minutes depending on portal response time and number of documents being uploaded.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2DD4BF" w:val="clear"/>
            <w:tcMar>
              <w:top w:type="dxa" w:w="140"/>
              <w:left w:type="dxa" w:w="80"/>
              <w:bottom w:type="dxa" w:w="140"/>
              <w:right w:type="dxa" w:w="80"/>
            </w:tcMar>
            <w:vAlign w:val="center"/>
          </w:tcPr>
          <w:p>
            <w:pPr>
              <w:jc w:val="center"/>
            </w:pPr>
            <w:r>
              <w:rPr>
                <w:rFonts w:ascii="Arial" w:cs="Arial" w:eastAsia="Arial" w:hAnsi="Arial"/>
                <w:b/>
                <w:bCs/>
                <w:color w:val="FFFFFF"/>
                <w:sz w:val="22"/>
                <w:szCs w:val="22"/>
              </w:rPr>
              <w:t xml:space="preserve">⚡</w:t>
            </w:r>
          </w:p>
        </w:tc>
        <w:tc>
          <w:tcPr>
            <w:tcW w:type="dxa" w:w="9060"/>
            <w:tcBorders>
              <w:top w:val="none" w:color="FFFFFF" w:sz="0"/>
              <w:left w:val="none" w:color="FFFFFF" w:sz="0"/>
              <w:bottom w:val="none" w:color="FFFFFF" w:sz="0"/>
              <w:right w:val="none" w:color="FFFFFF" w:sz="0"/>
            </w:tcBorders>
            <w:shd w:fill="1C2333" w:val="clear"/>
            <w:tcMar>
              <w:top w:type="dxa" w:w="120"/>
              <w:left w:type="dxa" w:w="180"/>
              <w:bottom w:type="dxa" w:w="120"/>
              <w:right w:type="dxa" w:w="140"/>
            </w:tcMar>
          </w:tcPr>
          <w:p>
            <w:pPr>
              <w:spacing w:before="0" w:after="20"/>
            </w:pPr>
            <w:r>
              <w:rPr>
                <w:rFonts w:ascii="Arial" w:cs="Arial" w:eastAsia="Arial" w:hAnsi="Arial"/>
                <w:b/>
                <w:bCs/>
                <w:color w:val="E8EDF2"/>
                <w:sz w:val="20"/>
                <w:szCs w:val="20"/>
              </w:rPr>
              <w:t xml:space="preserve">Checkpoint Architecture</w:t>
            </w:r>
          </w:p>
          <w:p>
            <w:r>
              <w:rPr>
                <w:rFonts w:ascii="Arial" w:cs="Arial" w:eastAsia="Arial" w:hAnsi="Arial"/>
                <w:color w:val="8B9AB0"/>
                <w:sz w:val="20"/>
                <w:szCs w:val="20"/>
              </w:rPr>
              <w:t xml:space="preserve">Agent 07 saves a checkpoint after each successfully completed wizard step. If the session is interrupted, the agent resumes from the last checkpoint rather than restarting. Checkpoints are stored in the project record with field values and step number.</w:t>
            </w:r>
          </w:p>
        </w:tc>
      </w:tr>
    </w:tbl>
    <w:p>
      <w:pPr>
        <w:spacing w:before="160" w:after="0"/>
      </w:pPr>
      <w:r>
        <w:t xml:space="preserve"/>
      </w:r>
    </w:p>
    <w:p>
      <w:pPr>
        <w:spacing w:before="180" w:after="60"/>
      </w:pPr>
      <w:r>
        <w:rPr>
          <w:rFonts w:ascii="Arial" w:cs="Arial" w:eastAsia="Arial" w:hAnsi="Arial"/>
          <w:b/>
          <w:bCs/>
          <w:color w:val="4A9EE0"/>
          <w:sz w:val="22"/>
          <w:szCs w:val="22"/>
        </w:rPr>
        <w:t xml:space="preserve">Phase 5: Post-Submission Monitoring (Agent 09)</w:t>
      </w:r>
    </w:p>
    <w:p>
      <w:pPr>
        <w:spacing w:before="60" w:after="80"/>
      </w:pPr>
      <w:r>
        <w:rPr>
          <w:rFonts w:ascii="Arial" w:cs="Arial" w:eastAsia="Arial" w:hAnsi="Arial"/>
          <w:color w:val="8B9AB0"/>
          <w:sz w:val="21"/>
          <w:szCs w:val="21"/>
        </w:rPr>
        <w:t xml:space="preserve">Agent 09 begins polling Scout immediately after submission. Status is checked every 4 hours for active applications. The agent sends alerts at every status transition and flags any SLA breach. If the project is routed to ProjectDox, the agent generates a ProjectDox upload task and notifies the expediter with the document list and deadline.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Status Transition</w:t>
            </w:r>
          </w:p>
        </w:tc>
        <w:tc>
          <w:tcPr>
            <w:tcW w:type="dxa" w:w="636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Action</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Application Submitted → Accepted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Confirm record in Scout. Log Application ID. Notify expediter.</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Accepted → ProjectDox Routed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Generate ProjectDox upload task. Alert expediter. Human uploads plans.</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Accepted → Digital Walk-Through</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Monitor for 1-business-day review completion.</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In Plan Review → Comments Issued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Immediately alert expediter. Feed comments to DesignCheck™ pipeline.</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Comments Resolved → Fee Invoiced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Alert expediter with fee amount and payment instructions.</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Fee Paid → Permit Issued</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Capture permit number, expiration date, conditions. Notify client. Log in Insight™.</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Any Status → SLA Breach</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Escalation alert with DOB contact and recommended action.</w:t>
            </w:r>
          </w:p>
        </w:tc>
      </w:tr>
    </w:tbl>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5. Shared Project Context Schema</w:t>
      </w:r>
    </w:p>
    <w:p>
      <w:pPr>
        <w:spacing w:before="60" w:after="80"/>
      </w:pPr>
      <w:r>
        <w:rPr>
          <w:rFonts w:ascii="Arial" w:cs="Arial" w:eastAsia="Arial" w:hAnsi="Arial"/>
          <w:color w:val="8B9AB0"/>
          <w:sz w:val="21"/>
          <w:szCs w:val="21"/>
        </w:rPr>
        <w:t xml:space="preserve">All agents read from and write to a single shared Project Context Object. This is the system’s state container. Every agent appends its outputs to this object. The human review gate reads from it. The audit log is derived from it at the end of every run.</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547" w:sz="1"/>
              <w:left w:val="single" w:color="2A3547" w:sz="1"/>
              <w:bottom w:val="single" w:color="2A3547" w:sz="1"/>
              <w:right w:val="single" w:color="2A3547" w:sz="1"/>
            </w:tcBorders>
            <w:shd w:fill="0A0F18" w:val="clear"/>
            <w:tcMar>
              <w:top w:type="dxa" w:w="160"/>
              <w:left w:type="dxa" w:w="200"/>
              <w:bottom w:type="dxa" w:w="160"/>
              <w:right w:type="dxa" w:w="200"/>
            </w:tcMar>
          </w:tcPr>
          <w:p>
            <w:pPr>
              <w:spacing w:before="0" w:after="0"/>
            </w:pPr>
            <w:r>
              <w:rPr>
                <w:rFonts w:ascii="Courier New" w:cs="Courier New" w:eastAsia="Courier New" w:hAnsi="Courier New"/>
                <w:color w:val="FF6B2B"/>
                <w:sz w:val="17"/>
                <w:szCs w:val="17"/>
              </w:rPr>
              <w:t xml:space="preserve">ProjectContext {</w:t>
            </w:r>
          </w:p>
          <w:p>
            <w:pPr>
              <w:spacing w:before="0" w:after="0"/>
            </w:pPr>
            <w:r>
              <w:rPr>
                <w:rFonts w:ascii="Courier New" w:cs="Courier New" w:eastAsia="Courier New" w:hAnsi="Courier New"/>
                <w:color w:val="2DD4BF"/>
                <w:sz w:val="17"/>
                <w:szCs w:val="17"/>
              </w:rPr>
              <w:t xml:space="preserve">  // Intake</w:t>
            </w:r>
          </w:p>
          <w:p>
            <w:pPr>
              <w:spacing w:before="0" w:after="0"/>
            </w:pPr>
            <w:r>
              <w:rPr>
                <w:rFonts w:ascii="Courier New" w:cs="Courier New" w:eastAsia="Courier New" w:hAnsi="Courier New"/>
                <w:color w:val="E8EDF2"/>
                <w:sz w:val="17"/>
                <w:szCs w:val="17"/>
              </w:rPr>
              <w:t xml:space="preserve">  projectId:           string         // Insight™ project record ID</w:t>
            </w:r>
          </w:p>
          <w:p>
            <w:pPr>
              <w:spacing w:before="0" w:after="0"/>
            </w:pPr>
            <w:r>
              <w:rPr>
                <w:rFonts w:ascii="Courier New" w:cs="Courier New" w:eastAsia="Courier New" w:hAnsi="Courier New"/>
                <w:color w:val="E8EDF2"/>
                <w:sz w:val="17"/>
                <w:szCs w:val="17"/>
              </w:rPr>
              <w:t xml:space="preserve">  propertyAddress:     string         // Full DC address</w:t>
            </w:r>
          </w:p>
          <w:p>
            <w:pPr>
              <w:spacing w:before="0" w:after="0"/>
            </w:pPr>
            <w:r>
              <w:rPr>
                <w:rFonts w:ascii="Courier New" w:cs="Courier New" w:eastAsia="Courier New" w:hAnsi="Courier New"/>
                <w:color w:val="E8EDF2"/>
                <w:sz w:val="17"/>
                <w:szCs w:val="17"/>
              </w:rPr>
              <w:t xml:space="preserve">  scopeOfWork:         string         // Client-provided description</w:t>
            </w:r>
          </w:p>
          <w:p>
            <w:pPr>
              <w:spacing w:before="0" w:after="0"/>
            </w:pPr>
            <w:r>
              <w:rPr>
                <w:rFonts w:ascii="Courier New" w:cs="Courier New" w:eastAsia="Courier New" w:hAnsi="Courier New"/>
                <w:color w:val="E8EDF2"/>
                <w:sz w:val="17"/>
                <w:szCs w:val="17"/>
              </w:rPr>
              <w:t xml:space="preserve">  estimatedCost:       number         // USD</w:t>
            </w:r>
          </w:p>
          <w:p>
            <w:pPr>
              <w:spacing w:before="0" w:after="0"/>
            </w:pPr>
            <w:r>
              <w:rPr>
                <w:rFonts w:ascii="Courier New" w:cs="Courier New" w:eastAsia="Courier New" w:hAnsi="Courier New"/>
                <w:color w:val="E8EDF2"/>
                <w:sz w:val="17"/>
                <w:szCs w:val="17"/>
              </w:rPr>
              <w:t xml:space="preserve">  projectType:         enum           // residential | commercial | trade | solar | demo</w:t>
            </w:r>
          </w:p>
          <w:p>
            <w:pPr>
              <w:spacing w:before="0" w:after="0"/>
            </w:pPr>
            <w:r>
              <w:rPr>
                <w:rFonts w:ascii="Courier New" w:cs="Courier New" w:eastAsia="Courier New" w:hAnsi="Courier New"/>
                <w:color w:val="E8EDF2"/>
                <w:sz w:val="17"/>
                <w:szCs w:val="17"/>
              </w:rPr>
              <w:t xml:space="preserve">  clientName:          string</w:t>
            </w:r>
          </w:p>
          <w:p>
            <w:pPr>
              <w:spacing w:before="0" w:after="0"/>
            </w:pPr>
            <w:r>
              <w:rPr>
                <w:rFonts w:ascii="Courier New" w:cs="Courier New" w:eastAsia="Courier New" w:hAnsi="Courier New"/>
                <w:color w:val="E8EDF2"/>
                <w:sz w:val="17"/>
                <w:szCs w:val="17"/>
              </w:rPr>
              <w:t xml:space="preserve">  expediterRegNumber:  string         // Commun-ET DOB registration number</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 01 — Property Intelligence</w:t>
            </w:r>
          </w:p>
          <w:p>
            <w:pPr>
              <w:spacing w:before="0" w:after="0"/>
            </w:pPr>
            <w:r>
              <w:rPr>
                <w:rFonts w:ascii="Courier New" w:cs="Courier New" w:eastAsia="Courier New" w:hAnsi="Courier New"/>
                <w:color w:val="E8EDF2"/>
                <w:sz w:val="17"/>
                <w:szCs w:val="17"/>
              </w:rPr>
              <w:t xml:space="preserve">  propertyIntelligence: {</w:t>
            </w:r>
          </w:p>
          <w:p>
            <w:pPr>
              <w:spacing w:before="0" w:after="0"/>
            </w:pPr>
            <w:r>
              <w:rPr>
                <w:rFonts w:ascii="Courier New" w:cs="Courier New" w:eastAsia="Courier New" w:hAnsi="Courier New"/>
                <w:color w:val="E8EDF2"/>
                <w:sz w:val="17"/>
                <w:szCs w:val="17"/>
              </w:rPr>
              <w:t xml:space="preserve">    zoningDistrict: string, overlays: string[], historicDistrict: boolean,</w:t>
            </w:r>
          </w:p>
          <w:p>
            <w:pPr>
              <w:spacing w:before="0" w:after="0"/>
            </w:pPr>
            <w:r>
              <w:rPr>
                <w:rFonts w:ascii="Courier New" w:cs="Courier New" w:eastAsia="Courier New" w:hAnsi="Courier New"/>
                <w:color w:val="E8EDF2"/>
                <w:sz w:val="17"/>
                <w:szCs w:val="17"/>
              </w:rPr>
              <w:t xml:space="preserve">    floodHazardZone: boolean, activePermits: Permit[], swoHistory: SWO[],</w:t>
            </w:r>
          </w:p>
          <w:p>
            <w:pPr>
              <w:spacing w:before="0" w:after="0"/>
            </w:pPr>
            <w:r>
              <w:rPr>
                <w:rFonts w:ascii="Courier New" w:cs="Courier New" w:eastAsia="Courier New" w:hAnsi="Courier New"/>
                <w:color w:val="E8EDF2"/>
                <w:sz w:val="17"/>
                <w:szCs w:val="17"/>
              </w:rPr>
              <w:t xml:space="preserve">    advisoryFlags: string[], agentStatus: “pass | warn | escalate”</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 02 — License Validation</w:t>
            </w:r>
          </w:p>
          <w:p>
            <w:pPr>
              <w:spacing w:before="0" w:after="0"/>
            </w:pPr>
            <w:r>
              <w:rPr>
                <w:rFonts w:ascii="Courier New" w:cs="Courier New" w:eastAsia="Courier New" w:hAnsi="Courier New"/>
                <w:color w:val="E8EDF2"/>
                <w:sz w:val="17"/>
                <w:szCs w:val="17"/>
              </w:rPr>
              <w:t xml:space="preserve">  licenseValidation: {</w:t>
            </w:r>
          </w:p>
          <w:p>
            <w:pPr>
              <w:spacing w:before="0" w:after="0"/>
            </w:pPr>
            <w:r>
              <w:rPr>
                <w:rFonts w:ascii="Courier New" w:cs="Courier New" w:eastAsia="Courier New" w:hAnsi="Courier New"/>
                <w:color w:val="E8EDF2"/>
                <w:sz w:val="17"/>
                <w:szCs w:val="17"/>
              </w:rPr>
              <w:t xml:space="preserve">    expediterLicense: LicenseCheck, designProfessionals: LicenseCheck[],</w:t>
            </w:r>
          </w:p>
          <w:p>
            <w:pPr>
              <w:spacing w:before="0" w:after="0"/>
            </w:pPr>
            <w:r>
              <w:rPr>
                <w:rFonts w:ascii="Courier New" w:cs="Courier New" w:eastAsia="Courier New" w:hAnsi="Courier New"/>
                <w:color w:val="E8EDF2"/>
                <w:sz w:val="17"/>
                <w:szCs w:val="17"/>
              </w:rPr>
              <w:t xml:space="preserve">    contractors: LicenseCheck[], allValid: boolean, agentStatus: “pass | warn | fail”</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 03 — Documents</w:t>
            </w:r>
          </w:p>
          <w:p>
            <w:pPr>
              <w:spacing w:before="0" w:after="0"/>
            </w:pPr>
            <w:r>
              <w:rPr>
                <w:rFonts w:ascii="Courier New" w:cs="Courier New" w:eastAsia="Courier New" w:hAnsi="Courier New"/>
                <w:color w:val="E8EDF2"/>
                <w:sz w:val="17"/>
                <w:szCs w:val="17"/>
              </w:rPr>
              <w:t xml:space="preserve">  documentPackage: {</w:t>
            </w:r>
          </w:p>
          <w:p>
            <w:pPr>
              <w:spacing w:before="0" w:after="0"/>
            </w:pPr>
            <w:r>
              <w:rPr>
                <w:rFonts w:ascii="Courier New" w:cs="Courier New" w:eastAsia="Courier New" w:hAnsi="Courier New"/>
                <w:color w:val="E8EDF2"/>
                <w:sz w:val="17"/>
                <w:szCs w:val="17"/>
              </w:rPr>
              <w:t xml:space="preserve">    documents: Document[], checklistStatus: ChecklistItem[],</w:t>
            </w:r>
          </w:p>
          <w:p>
            <w:pPr>
              <w:spacing w:before="0" w:after="0"/>
            </w:pPr>
            <w:r>
              <w:rPr>
                <w:rFonts w:ascii="Courier New" w:cs="Courier New" w:eastAsia="Courier New" w:hAnsi="Courier New"/>
                <w:color w:val="E8EDF2"/>
                <w:sz w:val="17"/>
                <w:szCs w:val="17"/>
              </w:rPr>
              <w:t xml:space="preserve">    eifRequired: boolean, eifGenerated: boolean, agentStatus: “pass | warn | fail”</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 04 — Permit Classification</w:t>
            </w:r>
          </w:p>
          <w:p>
            <w:pPr>
              <w:spacing w:before="0" w:after="0"/>
            </w:pPr>
            <w:r>
              <w:rPr>
                <w:rFonts w:ascii="Courier New" w:cs="Courier New" w:eastAsia="Courier New" w:hAnsi="Courier New"/>
                <w:color w:val="E8EDF2"/>
                <w:sz w:val="17"/>
                <w:szCs w:val="17"/>
              </w:rPr>
              <w:t xml:space="preserve">  permitClassification: {</w:t>
            </w:r>
          </w:p>
          <w:p>
            <w:pPr>
              <w:spacing w:before="0" w:after="0"/>
            </w:pPr>
            <w:r>
              <w:rPr>
                <w:rFonts w:ascii="Courier New" w:cs="Courier New" w:eastAsia="Courier New" w:hAnsi="Courier New"/>
                <w:color w:val="E8EDF2"/>
                <w:sz w:val="17"/>
                <w:szCs w:val="17"/>
              </w:rPr>
              <w:t xml:space="preserve">    recommendedPermitType: string, confidence: number,</w:t>
            </w:r>
          </w:p>
          <w:p>
            <w:pPr>
              <w:spacing w:before="0" w:after="0"/>
            </w:pPr>
            <w:r>
              <w:rPr>
                <w:rFonts w:ascii="Courier New" w:cs="Courier New" w:eastAsia="Courier New" w:hAnsi="Courier New"/>
                <w:color w:val="E8EDF2"/>
                <w:sz w:val="17"/>
                <w:szCs w:val="17"/>
              </w:rPr>
              <w:t xml:space="preserve">    reviewTrack: “WalkThrough | ProjectDox”, sisterAgencyReviews: string[],</w:t>
            </w:r>
          </w:p>
          <w:p>
            <w:pPr>
              <w:spacing w:before="0" w:after="0"/>
            </w:pPr>
            <w:r>
              <w:rPr>
                <w:rFonts w:ascii="Courier New" w:cs="Courier New" w:eastAsia="Courier New" w:hAnsi="Courier New"/>
                <w:color w:val="E8EDF2"/>
                <w:sz w:val="17"/>
                <w:szCs w:val="17"/>
              </w:rPr>
              <w:t xml:space="preserve">    estimatedFee: { low: number, high: number }, agentStatus: “pass | warn”</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 05 — Human Gate</w:t>
            </w:r>
          </w:p>
          <w:p>
            <w:pPr>
              <w:spacing w:before="0" w:after="0"/>
            </w:pPr>
            <w:r>
              <w:rPr>
                <w:rFonts w:ascii="Courier New" w:cs="Courier New" w:eastAsia="Courier New" w:hAnsi="Courier New"/>
                <w:color w:val="E8EDF2"/>
                <w:sz w:val="17"/>
                <w:szCs w:val="17"/>
              </w:rPr>
              <w:t xml:space="preserve">  humanApproval: {</w:t>
            </w:r>
          </w:p>
          <w:p>
            <w:pPr>
              <w:spacing w:before="0" w:after="0"/>
            </w:pPr>
            <w:r>
              <w:rPr>
                <w:rFonts w:ascii="Courier New" w:cs="Courier New" w:eastAsia="Courier New" w:hAnsi="Courier New"/>
                <w:color w:val="E8EDF2"/>
                <w:sz w:val="17"/>
                <w:szCs w:val="17"/>
              </w:rPr>
              <w:t xml:space="preserve">    status: “pending | approved | approved_with_notes | rejected”,</w:t>
            </w:r>
          </w:p>
          <w:p>
            <w:pPr>
              <w:spacing w:before="0" w:after="0"/>
            </w:pPr>
            <w:r>
              <w:rPr>
                <w:rFonts w:ascii="Courier New" w:cs="Courier New" w:eastAsia="Courier New" w:hAnsi="Courier New"/>
                <w:color w:val="E8EDF2"/>
                <w:sz w:val="17"/>
                <w:szCs w:val="17"/>
              </w:rPr>
              <w:t xml:space="preserve">    approvedBy: string, timestamp: Date, overrideNotes: string</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Agents 06-08 — Execution</w:t>
            </w:r>
          </w:p>
          <w:p>
            <w:pPr>
              <w:spacing w:before="0" w:after="0"/>
            </w:pPr>
            <w:r>
              <w:rPr>
                <w:rFonts w:ascii="Courier New" w:cs="Courier New" w:eastAsia="Courier New" w:hAnsi="Courier New"/>
                <w:color w:val="E8EDF2"/>
                <w:sz w:val="17"/>
                <w:szCs w:val="17"/>
              </w:rPr>
              <w:t xml:space="preserve">  portalExecution: {</w:t>
            </w:r>
          </w:p>
          <w:p>
            <w:pPr>
              <w:spacing w:before="0" w:after="0"/>
            </w:pPr>
            <w:r>
              <w:rPr>
                <w:rFonts w:ascii="Courier New" w:cs="Courier New" w:eastAsia="Courier New" w:hAnsi="Courier New"/>
                <w:color w:val="E8EDF2"/>
                <w:sz w:val="17"/>
                <w:szCs w:val="17"/>
              </w:rPr>
              <w:t xml:space="preserve">    sessionActive: boolean, checkpoints: Checkpoint[],</w:t>
            </w:r>
          </w:p>
          <w:p>
            <w:pPr>
              <w:spacing w:before="0" w:after="0"/>
            </w:pPr>
            <w:r>
              <w:rPr>
                <w:rFonts w:ascii="Courier New" w:cs="Courier New" w:eastAsia="Courier New" w:hAnsi="Courier New"/>
                <w:color w:val="E8EDF2"/>
                <w:sz w:val="17"/>
                <w:szCs w:val="17"/>
              </w:rPr>
              <w:t xml:space="preserve">    fieldCompletionLog: FieldLog[], uploadLog: UploadLog[],</w:t>
            </w:r>
          </w:p>
          <w:p>
            <w:pPr>
              <w:spacing w:before="0" w:after="0"/>
            </w:pPr>
            <w:r>
              <w:rPr>
                <w:rFonts w:ascii="Courier New" w:cs="Courier New" w:eastAsia="Courier New" w:hAnsi="Courier New"/>
                <w:color w:val="E8EDF2"/>
                <w:sz w:val="17"/>
                <w:szCs w:val="17"/>
              </w:rPr>
              <w:t xml:space="preserve">    applicationId: string, submissionTimestamp: Date, confirmationReceived: boolean</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
            </w:r>
          </w:p>
          <w:p>
            <w:pPr>
              <w:spacing w:before="0" w:after="0"/>
            </w:pPr>
            <w:r>
              <w:rPr>
                <w:rFonts w:ascii="Courier New" w:cs="Courier New" w:eastAsia="Courier New" w:hAnsi="Courier New"/>
                <w:color w:val="2DD4BF"/>
                <w:sz w:val="17"/>
                <w:szCs w:val="17"/>
              </w:rPr>
              <w:t xml:space="preserve">  // Agent 09 — Monitoring</w:t>
            </w:r>
          </w:p>
          <w:p>
            <w:pPr>
              <w:spacing w:before="0" w:after="0"/>
            </w:pPr>
            <w:r>
              <w:rPr>
                <w:rFonts w:ascii="Courier New" w:cs="Courier New" w:eastAsia="Courier New" w:hAnsi="Courier New"/>
                <w:color w:val="E8EDF2"/>
                <w:sz w:val="17"/>
                <w:szCs w:val="17"/>
              </w:rPr>
              <w:t xml:space="preserve">  statusMonitoring: {</w:t>
            </w:r>
          </w:p>
          <w:p>
            <w:pPr>
              <w:spacing w:before="0" w:after="0"/>
            </w:pPr>
            <w:r>
              <w:rPr>
                <w:rFonts w:ascii="Courier New" w:cs="Courier New" w:eastAsia="Courier New" w:hAnsi="Courier New"/>
                <w:color w:val="E8EDF2"/>
                <w:sz w:val="17"/>
                <w:szCs w:val="17"/>
              </w:rPr>
              <w:t xml:space="preserve">    currentStatus: string, statusHistory: StatusEvent[],</w:t>
            </w:r>
          </w:p>
          <w:p>
            <w:pPr>
              <w:spacing w:before="0" w:after="0"/>
            </w:pPr>
            <w:r>
              <w:rPr>
                <w:rFonts w:ascii="Courier New" w:cs="Courier New" w:eastAsia="Courier New" w:hAnsi="Courier New"/>
                <w:color w:val="E8EDF2"/>
                <w:sz w:val="17"/>
                <w:szCs w:val="17"/>
              </w:rPr>
              <w:t xml:space="preserve">    projectDoxRequired: boolean, permitNumber: string,</w:t>
            </w:r>
          </w:p>
          <w:p>
            <w:pPr>
              <w:spacing w:before="0" w:after="0"/>
            </w:pPr>
            <w:r>
              <w:rPr>
                <w:rFonts w:ascii="Courier New" w:cs="Courier New" w:eastAsia="Courier New" w:hAnsi="Courier New"/>
                <w:color w:val="E8EDF2"/>
                <w:sz w:val="17"/>
                <w:szCs w:val="17"/>
              </w:rPr>
              <w:t xml:space="preserve">    permitExpirationDate: Date, slaBreachAlerts: Alert[]</w:t>
            </w:r>
          </w:p>
          <w:p>
            <w:pPr>
              <w:spacing w:before="0" w:after="0"/>
            </w:pPr>
            <w:r>
              <w:rPr>
                <w:rFonts w:ascii="Courier New" w:cs="Courier New" w:eastAsia="Courier New" w:hAnsi="Courier New"/>
                <w:color w:val="FF6B2B"/>
                <w:sz w:val="17"/>
                <w:szCs w:val="17"/>
              </w:rPr>
              <w:t xml:space="preserve">  }</w:t>
            </w:r>
          </w:p>
          <w:p>
            <w:pPr>
              <w:spacing w:before="0" w:after="0"/>
            </w:pPr>
            <w:r>
              <w:rPr>
                <w:rFonts w:ascii="Courier New" w:cs="Courier New" w:eastAsia="Courier New" w:hAnsi="Courier New"/>
                <w:color w:val="FF6B2B"/>
                <w:sz w:val="17"/>
                <w:szCs w:val="17"/>
              </w:rPr>
              <w:t xml:space="preserve">}</w:t>
            </w:r>
          </w:p>
        </w:tc>
      </w:tr>
    </w:tbl>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6. Security &amp; Compliance Requirements</w:t>
      </w:r>
    </w:p>
    <w:p>
      <w:pPr>
        <w:spacing w:before="60" w:after="80"/>
      </w:pPr>
      <w:r>
        <w:rPr>
          <w:rFonts w:ascii="Arial" w:cs="Arial" w:eastAsia="Arial" w:hAnsi="Arial"/>
          <w:color w:val="8B9AB0"/>
          <w:sz w:val="21"/>
          <w:szCs w:val="21"/>
        </w:rPr>
        <w:t xml:space="preserve">The system handles government portal credentials, licensed professional data, and client project information. Security is not optional — it is a legal and professional obligation.</w:t>
      </w:r>
    </w:p>
    <w:p>
      <w:pPr>
        <w:spacing w:before="100" w:after="0"/>
      </w:pPr>
      <w:r>
        <w:t xml:space="preserve"/>
      </w:r>
    </w:p>
    <w:p>
      <w:pPr>
        <w:spacing w:before="180" w:after="60"/>
      </w:pPr>
      <w:r>
        <w:rPr>
          <w:rFonts w:ascii="Arial" w:cs="Arial" w:eastAsia="Arial" w:hAnsi="Arial"/>
          <w:b/>
          <w:bCs/>
          <w:color w:val="4A9EE0"/>
          <w:sz w:val="22"/>
          <w:szCs w:val="22"/>
        </w:rPr>
        <w:t xml:space="preserve">Credential Management</w:t>
      </w:r>
    </w:p>
    <w:p>
      <w:pPr>
        <w:pStyle w:val="ListParagraph"/>
        <w:numPr>
          <w:ilvl w:val="0"/>
          <w:numId w:val="2"/>
        </w:numPr>
        <w:spacing w:before="40" w:after="40"/>
      </w:pPr>
      <w:r>
        <w:rPr>
          <w:rFonts w:ascii="Arial" w:cs="Arial" w:eastAsia="Arial" w:hAnsi="Arial"/>
          <w:color w:val="8B9AB0"/>
          <w:sz w:val="21"/>
          <w:szCs w:val="21"/>
        </w:rPr>
        <w:t xml:space="preserve">Access DC credentials stored exclusively in encrypted secrets vault (e.g., AWS Secrets Manager or Azure Key Vault). Never in application code, environment variables exposed to logs, or shared services.</w:t>
      </w:r>
    </w:p>
    <w:p>
      <w:pPr>
        <w:pStyle w:val="ListParagraph"/>
        <w:numPr>
          <w:ilvl w:val="0"/>
          <w:numId w:val="2"/>
        </w:numPr>
        <w:spacing w:before="40" w:after="40"/>
      </w:pPr>
      <w:r>
        <w:rPr>
          <w:rFonts w:ascii="Arial" w:cs="Arial" w:eastAsia="Arial" w:hAnsi="Arial"/>
          <w:color w:val="8B9AB0"/>
          <w:sz w:val="21"/>
          <w:szCs w:val="21"/>
        </w:rPr>
        <w:t xml:space="preserve">Each portal session is ephemeral. Session tokens are destroyed after every workflow run.</w:t>
      </w:r>
    </w:p>
    <w:p>
      <w:pPr>
        <w:pStyle w:val="ListParagraph"/>
        <w:numPr>
          <w:ilvl w:val="0"/>
          <w:numId w:val="2"/>
        </w:numPr>
        <w:spacing w:before="40" w:after="40"/>
      </w:pPr>
      <w:r>
        <w:rPr>
          <w:rFonts w:ascii="Arial" w:cs="Arial" w:eastAsia="Arial" w:hAnsi="Arial"/>
          <w:color w:val="8B9AB0"/>
          <w:sz w:val="21"/>
          <w:szCs w:val="21"/>
        </w:rPr>
        <w:t xml:space="preserve">Commun-ET’s DOB Expediter registration number is stored in the vault alongside Access DC credentials and injected at runtime. It is never hardcoded.</w:t>
      </w:r>
    </w:p>
    <w:p>
      <w:pPr>
        <w:pStyle w:val="ListParagraph"/>
        <w:numPr>
          <w:ilvl w:val="0"/>
          <w:numId w:val="2"/>
        </w:numPr>
        <w:spacing w:before="40" w:after="40"/>
      </w:pPr>
      <w:r>
        <w:rPr>
          <w:rFonts w:ascii="Arial" w:cs="Arial" w:eastAsia="Arial" w:hAnsi="Arial"/>
          <w:color w:val="8B9AB0"/>
          <w:sz w:val="21"/>
          <w:szCs w:val="21"/>
        </w:rPr>
        <w:t xml:space="preserve">All credential access is logged with timestamp and agent ID for audit purposes.</w:t>
      </w:r>
    </w:p>
    <w:p>
      <w:pPr>
        <w:spacing w:before="120" w:after="0"/>
      </w:pPr>
      <w:r>
        <w:t xml:space="preserve"/>
      </w:r>
    </w:p>
    <w:p>
      <w:pPr>
        <w:spacing w:before="180" w:after="60"/>
      </w:pPr>
      <w:r>
        <w:rPr>
          <w:rFonts w:ascii="Arial" w:cs="Arial" w:eastAsia="Arial" w:hAnsi="Arial"/>
          <w:b/>
          <w:bCs/>
          <w:color w:val="4A9EE0"/>
          <w:sz w:val="22"/>
          <w:szCs w:val="22"/>
        </w:rPr>
        <w:t xml:space="preserve">Audit Trail Requirements</w:t>
      </w:r>
    </w:p>
    <w:p>
      <w:pPr>
        <w:pStyle w:val="ListParagraph"/>
        <w:numPr>
          <w:ilvl w:val="0"/>
          <w:numId w:val="2"/>
        </w:numPr>
        <w:spacing w:before="40" w:after="40"/>
      </w:pPr>
      <w:r>
        <w:rPr>
          <w:rFonts w:ascii="Arial" w:cs="Arial" w:eastAsia="Arial" w:hAnsi="Arial"/>
          <w:color w:val="8B9AB0"/>
          <w:sz w:val="21"/>
          <w:szCs w:val="21"/>
        </w:rPr>
        <w:t xml:space="preserve">Every agent action is logged: field filled, document uploaded, API called, decision made, error encountered.</w:t>
      </w:r>
    </w:p>
    <w:p>
      <w:pPr>
        <w:pStyle w:val="ListParagraph"/>
        <w:numPr>
          <w:ilvl w:val="0"/>
          <w:numId w:val="2"/>
        </w:numPr>
        <w:spacing w:before="40" w:after="40"/>
      </w:pPr>
      <w:r>
        <w:rPr>
          <w:rFonts w:ascii="Arial" w:cs="Arial" w:eastAsia="Arial" w:hAnsi="Arial"/>
          <w:color w:val="8B9AB0"/>
          <w:sz w:val="21"/>
          <w:szCs w:val="21"/>
        </w:rPr>
        <w:t xml:space="preserve">The human approval at Agent 05 is logged with: user ID, timestamp, IP address, and any override notes. This record is permanent.</w:t>
      </w:r>
    </w:p>
    <w:p>
      <w:pPr>
        <w:pStyle w:val="ListParagraph"/>
        <w:numPr>
          <w:ilvl w:val="0"/>
          <w:numId w:val="2"/>
        </w:numPr>
        <w:spacing w:before="40" w:after="40"/>
      </w:pPr>
      <w:r>
        <w:rPr>
          <w:rFonts w:ascii="Arial" w:cs="Arial" w:eastAsia="Arial" w:hAnsi="Arial"/>
          <w:color w:val="8B9AB0"/>
          <w:sz w:val="21"/>
          <w:szCs w:val="21"/>
        </w:rPr>
        <w:t xml:space="preserve">Portal interaction is logged via screenshots at each wizard step. These are stored in the project record for 7 years per professional services records requirements.</w:t>
      </w:r>
    </w:p>
    <w:p>
      <w:pPr>
        <w:pStyle w:val="ListParagraph"/>
        <w:numPr>
          <w:ilvl w:val="0"/>
          <w:numId w:val="2"/>
        </w:numPr>
        <w:spacing w:before="40" w:after="40"/>
      </w:pPr>
      <w:r>
        <w:rPr>
          <w:rFonts w:ascii="Arial" w:cs="Arial" w:eastAsia="Arial" w:hAnsi="Arial"/>
          <w:color w:val="8B9AB0"/>
          <w:sz w:val="21"/>
          <w:szCs w:val="21"/>
        </w:rPr>
        <w:t xml:space="preserve">All submission receipts and Application IDs are stored immediately upon capture and replicated to Insight™ cloud storage.</w:t>
      </w:r>
    </w:p>
    <w:p>
      <w:pPr>
        <w:spacing w:before="120" w:after="0"/>
      </w:pPr>
      <w:r>
        <w:t xml:space="preserve"/>
      </w:r>
    </w:p>
    <w:p>
      <w:pPr>
        <w:spacing w:before="180" w:after="60"/>
      </w:pPr>
      <w:r>
        <w:rPr>
          <w:rFonts w:ascii="Arial" w:cs="Arial" w:eastAsia="Arial" w:hAnsi="Arial"/>
          <w:b/>
          <w:bCs/>
          <w:color w:val="4A9EE0"/>
          <w:sz w:val="22"/>
          <w:szCs w:val="22"/>
        </w:rPr>
        <w:t xml:space="preserve">What the Agent System Cannot Do</w:t>
      </w:r>
    </w:p>
    <w:p>
      <w:pPr>
        <w:pStyle w:val="ListParagraph"/>
        <w:numPr>
          <w:ilvl w:val="0"/>
          <w:numId w:val="2"/>
        </w:numPr>
        <w:spacing w:before="40" w:after="40"/>
      </w:pPr>
      <w:r>
        <w:rPr>
          <w:rFonts w:ascii="Arial" w:cs="Arial" w:eastAsia="Arial" w:hAnsi="Arial"/>
          <w:color w:val="8B9AB0"/>
          <w:sz w:val="21"/>
          <w:szCs w:val="21"/>
        </w:rPr>
        <w:t xml:space="preserve">Cannot substitute professional license numbers. If a license fails validation, the application stops.</w:t>
      </w:r>
    </w:p>
    <w:p>
      <w:pPr>
        <w:pStyle w:val="ListParagraph"/>
        <w:numPr>
          <w:ilvl w:val="0"/>
          <w:numId w:val="2"/>
        </w:numPr>
        <w:spacing w:before="40" w:after="40"/>
      </w:pPr>
      <w:r>
        <w:rPr>
          <w:rFonts w:ascii="Arial" w:cs="Arial" w:eastAsia="Arial" w:hAnsi="Arial"/>
          <w:color w:val="8B9AB0"/>
          <w:sz w:val="21"/>
          <w:szCs w:val="21"/>
        </w:rPr>
        <w:t xml:space="preserve">Cannot file on behalf of a property owner without an authorized filing representative relationship on record with DOB.</w:t>
      </w:r>
    </w:p>
    <w:p>
      <w:pPr>
        <w:pStyle w:val="ListParagraph"/>
        <w:numPr>
          <w:ilvl w:val="0"/>
          <w:numId w:val="2"/>
        </w:numPr>
        <w:spacing w:before="40" w:after="40"/>
      </w:pPr>
      <w:r>
        <w:rPr>
          <w:rFonts w:ascii="Arial" w:cs="Arial" w:eastAsia="Arial" w:hAnsi="Arial"/>
          <w:color w:val="8B9AB0"/>
          <w:sz w:val="21"/>
          <w:szCs w:val="21"/>
        </w:rPr>
        <w:t xml:space="preserve">Cannot submit an application without the mandatory human approval from Agent 05.</w:t>
      </w:r>
    </w:p>
    <w:p>
      <w:pPr>
        <w:pStyle w:val="ListParagraph"/>
        <w:numPr>
          <w:ilvl w:val="0"/>
          <w:numId w:val="2"/>
        </w:numPr>
        <w:spacing w:before="40" w:after="40"/>
      </w:pPr>
      <w:r>
        <w:rPr>
          <w:rFonts w:ascii="Arial" w:cs="Arial" w:eastAsia="Arial" w:hAnsi="Arial"/>
          <w:color w:val="8B9AB0"/>
          <w:sz w:val="21"/>
          <w:szCs w:val="21"/>
        </w:rPr>
        <w:t xml:space="preserve">Cannot process payment (permit fee payment is a human action at the Cashier’s Office or via the DOB online payment portal).</w:t>
      </w:r>
    </w:p>
    <w:p>
      <w:pPr>
        <w:pStyle w:val="ListParagraph"/>
        <w:numPr>
          <w:ilvl w:val="0"/>
          <w:numId w:val="2"/>
        </w:numPr>
        <w:spacing w:before="40" w:after="40"/>
      </w:pPr>
      <w:r>
        <w:rPr>
          <w:rFonts w:ascii="Arial" w:cs="Arial" w:eastAsia="Arial" w:hAnsi="Arial"/>
          <w:color w:val="8B9AB0"/>
          <w:sz w:val="21"/>
          <w:szCs w:val="21"/>
        </w:rPr>
        <w:t xml:space="preserve">Cannot upload plans to ProjectDox autonomously — ProjectDox plan uploads require human review of the upload package against the plan review checklist.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color="FFFFFF" w:sz="0"/>
              <w:left w:val="none" w:color="FFFFFF" w:sz="0"/>
              <w:bottom w:val="none" w:color="FFFFFF" w:sz="0"/>
              <w:right w:val="none" w:color="FFFFFF" w:sz="0"/>
            </w:tcBorders>
            <w:shd w:fill="EF4444" w:val="clear"/>
            <w:tcMar>
              <w:top w:type="dxa" w:w="140"/>
              <w:left w:type="dxa" w:w="80"/>
              <w:bottom w:type="dxa" w:w="140"/>
              <w:right w:type="dxa" w:w="80"/>
            </w:tcMar>
            <w:vAlign w:val="center"/>
          </w:tcPr>
          <w:p>
            <w:pPr>
              <w:jc w:val="center"/>
            </w:pPr>
            <w:r>
              <w:rPr>
                <w:rFonts w:ascii="Arial" w:cs="Arial" w:eastAsia="Arial" w:hAnsi="Arial"/>
                <w:b/>
                <w:bCs/>
                <w:color w:val="FFFFFF"/>
                <w:sz w:val="22"/>
                <w:szCs w:val="22"/>
              </w:rPr>
              <w:t xml:space="preserve">⚖️</w:t>
            </w:r>
          </w:p>
        </w:tc>
        <w:tc>
          <w:tcPr>
            <w:tcW w:type="dxa" w:w="9060"/>
            <w:tcBorders>
              <w:top w:val="none" w:color="FFFFFF" w:sz="0"/>
              <w:left w:val="none" w:color="FFFFFF" w:sz="0"/>
              <w:bottom w:val="none" w:color="FFFFFF" w:sz="0"/>
              <w:right w:val="none" w:color="FFFFFF" w:sz="0"/>
            </w:tcBorders>
            <w:shd w:fill="1C2333" w:val="clear"/>
            <w:tcMar>
              <w:top w:type="dxa" w:w="120"/>
              <w:left w:type="dxa" w:w="180"/>
              <w:bottom w:type="dxa" w:w="120"/>
              <w:right w:type="dxa" w:w="140"/>
            </w:tcMar>
          </w:tcPr>
          <w:p>
            <w:pPr>
              <w:spacing w:before="0" w:after="20"/>
            </w:pPr>
            <w:r>
              <w:rPr>
                <w:rFonts w:ascii="Arial" w:cs="Arial" w:eastAsia="Arial" w:hAnsi="Arial"/>
                <w:b/>
                <w:bCs/>
                <w:color w:val="E8EDF2"/>
                <w:sz w:val="20"/>
                <w:szCs w:val="20"/>
              </w:rPr>
              <w:t xml:space="preserve">DC DOB Expediter Registration Requirement</w:t>
            </w:r>
          </w:p>
          <w:p>
            <w:r>
              <w:rPr>
                <w:rFonts w:ascii="Arial" w:cs="Arial" w:eastAsia="Arial" w:hAnsi="Arial"/>
                <w:color w:val="8B9AB0"/>
                <w:sz w:val="20"/>
                <w:szCs w:val="20"/>
              </w:rPr>
              <w:t xml:space="preserve">All permit applications filed on behalf of another party require the filer to be a registered DC DOB Permit Expediter. Commun-ET’s registration number must appear on every application. Operating without a valid registration is a violation of DC Municipal Regulations. Agent 02 validates this automatically on every run.</w:t>
            </w:r>
          </w:p>
        </w:tc>
      </w:tr>
    </w:tbl>
    <w:p>
      <w:r>
        <w:br w:type="page"/>
      </w:r>
    </w:p>
    <w:p>
      <w:pPr>
        <w:pStyle w:val="Heading1"/>
        <w:pBdr>
          <w:bottom w:val="single" w:color="FF6B2B" w:sz="10" w:space="6"/>
        </w:pBdr>
        <w:spacing w:before="400" w:after="120"/>
      </w:pPr>
      <w:r>
        <w:rPr>
          <w:rFonts w:ascii="Arial" w:cs="Arial" w:eastAsia="Arial" w:hAnsi="Arial"/>
          <w:b/>
          <w:bCs/>
          <w:color w:val="FF6B2B"/>
          <w:sz w:val="36"/>
          <w:szCs w:val="36"/>
        </w:rPr>
        <w:t xml:space="preserve">7. Implementation Roadmap</w:t>
      </w:r>
    </w:p>
    <w:p>
      <w:pPr>
        <w:spacing w:before="60" w:after="80"/>
      </w:pPr>
      <w:r>
        <w:rPr>
          <w:rFonts w:ascii="Arial" w:cs="Arial" w:eastAsia="Arial" w:hAnsi="Arial"/>
          <w:color w:val="8B9AB0"/>
          <w:sz w:val="21"/>
          <w:szCs w:val="21"/>
        </w:rPr>
        <w:t xml:space="preserve">Recommended build sequence. Each phase is independently functional and deliverable.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Phase</w:t>
            </w:r>
          </w:p>
        </w:tc>
        <w:tc>
          <w:tcPr>
            <w:tcW w:type="dxa" w:w="756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Scope &amp; Deliverable</w:t>
            </w:r>
          </w:p>
        </w:tc>
      </w:tr>
      <w:tr>
        <w:tc>
          <w:tcPr>
            <w:tcW w:type="dxa" w:w="1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Phase 1
Weeks 1–3</w:t>
            </w:r>
          </w:p>
        </w:tc>
        <w:tc>
          <w:tcPr>
            <w:tcW w:type="dxa" w:w="7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Build the Pre-Flight intelligence layer. Agents 01, 02, 03, 04. Integrate Scout scraping, DLCP API, document validation, and permit classification. Deliverable: agents run from a test intake form and output a structured pre-submission package. No portal interaction.</w:t>
            </w:r>
          </w:p>
        </w:tc>
      </w:tr>
      <w:tr>
        <w:tc>
          <w:tcPr>
            <w:tcW w:type="dxa" w:w="1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Phase 2
Weeks 4–5</w:t>
            </w:r>
          </w:p>
        </w:tc>
        <w:tc>
          <w:tcPr>
            <w:tcW w:type="dxa" w:w="7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Build Agent 05 (Pre-Submission Review) and the Insight™ dashboard review UI. Human approval workflow with notifications and override notes. Deliverable: expediter can review and approve/reject pre-submission package from the dashboard.</w:t>
            </w:r>
          </w:p>
        </w:tc>
      </w:tr>
      <w:tr>
        <w:tc>
          <w:tcPr>
            <w:tcW w:type="dxa" w:w="1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Phase 3
Weeks 6–8</w:t>
            </w:r>
          </w:p>
        </w:tc>
        <w:tc>
          <w:tcPr>
            <w:tcW w:type="dxa" w:w="7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Build the Execution layer. Agent 06 (Authentication), Agent 07 (Form Filing), Agent 08 (Submission Finalization). Start with a sandbox/test portal environment. Map all PermitWizard DOM selectors. Checkpoint architecture. Deliverable: end-to-end portal filing on a test application with human supervision.</w:t>
            </w:r>
          </w:p>
        </w:tc>
      </w:tr>
      <w:tr>
        <w:tc>
          <w:tcPr>
            <w:tcW w:type="dxa" w:w="1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Phase 4
Week 9</w:t>
            </w:r>
          </w:p>
        </w:tc>
        <w:tc>
          <w:tcPr>
            <w:tcW w:type="dxa" w:w="7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Build Agent 09 (Status Monitor). Scout polling, status change alerts, SLA tracking, ProjectDox trigger logic. Deliverable: live status monitoring for a filed application.</w:t>
            </w:r>
          </w:p>
        </w:tc>
      </w:tr>
      <w:tr>
        <w:tc>
          <w:tcPr>
            <w:tcW w:type="dxa" w:w="1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Phase 5
Week 10</w:t>
            </w:r>
          </w:p>
        </w:tc>
        <w:tc>
          <w:tcPr>
            <w:tcW w:type="dxa" w:w="7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Integration testing on live applications with expediter oversight for every submission. Parallel-run mode: agent files, human also reviews portal to verify accuracy. Build confidence before running autonomously.</w:t>
            </w:r>
          </w:p>
        </w:tc>
      </w:tr>
      <w:tr>
        <w:tc>
          <w:tcPr>
            <w:tcW w:type="dxa" w:w="18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Phase 6
Ongoing</w:t>
            </w:r>
          </w:p>
        </w:tc>
        <w:tc>
          <w:tcPr>
            <w:tcW w:type="dxa" w:w="75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Maintain the DOM selector map as PermitWizard updates. Monitor for portal changes after every DC DOB system maintenance window. Update agent logic as DOB adds new permit types or changes workflow requirements.</w:t>
            </w:r>
          </w:p>
        </w:tc>
      </w:tr>
    </w:tbl>
    <w:p>
      <w:pPr>
        <w:spacing w:before="160" w:after="0"/>
      </w:pPr>
      <w:r>
        <w:t xml:space="preserve"/>
      </w:r>
    </w:p>
    <w:p>
      <w:pPr>
        <w:spacing w:before="180" w:after="60"/>
      </w:pPr>
      <w:r>
        <w:rPr>
          <w:rFonts w:ascii="Arial" w:cs="Arial" w:eastAsia="Arial" w:hAnsi="Arial"/>
          <w:b/>
          <w:bCs/>
          <w:color w:val="4A9EE0"/>
          <w:sz w:val="22"/>
          <w:szCs w:val="22"/>
        </w:rPr>
        <w:t xml:space="preserve">Technology Stack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Component</w:t>
            </w:r>
          </w:p>
        </w:tc>
        <w:tc>
          <w:tcPr>
            <w:tcW w:type="dxa" w:w="6360"/>
            <w:tcBorders>
              <w:top w:val="single" w:color="2A3547" w:sz="1"/>
              <w:left w:val="single" w:color="2A3547" w:sz="1"/>
              <w:bottom w:val="single" w:color="2A3547" w:sz="1"/>
              <w:right w:val="single" w:color="2A3547" w:sz="1"/>
            </w:tcBorders>
            <w:shd w:fill="0D1117" w:val="clear"/>
            <w:tcMar>
              <w:top w:type="dxa" w:w="80"/>
              <w:left w:type="dxa" w:w="120"/>
              <w:bottom w:type="dxa" w:w="80"/>
              <w:right w:type="dxa" w:w="80"/>
            </w:tcMar>
          </w:tcPr>
          <w:p>
            <w:r>
              <w:rPr>
                <w:rFonts w:ascii="Arial" w:cs="Arial" w:eastAsia="Arial" w:hAnsi="Arial"/>
                <w:b/>
                <w:bCs/>
                <w:color w:val="FF6B2B"/>
                <w:sz w:val="19"/>
                <w:szCs w:val="19"/>
              </w:rPr>
              <w:t xml:space="preserve">Recommended Technology</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Browser Automation</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Playwright (better portal stability than Selenium; handles React SPAs well; native screenshot and file upload support)</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Agent Orchestration</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LangGraph or CrewAI (graph-based agent workflows with explicit state management — critical for checkpoint recovery)</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LLM for Reasoning</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Claude Sonnet (Permit Classifier and Document Preparation reasoning tasks)</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Credential Vault</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AWS Secrets Manager or HashiCorp Vault (no plaintext credentials anywhere in the codebase)</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State Storage</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PostgreSQL (Project Context Object persistence) + Redis (active session/checkpoint cache)</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Notification System</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Insight™ internal notification engine + SendGrid for email alerts</w:t>
            </w:r>
          </w:p>
        </w:tc>
      </w:tr>
      <w:tr>
        <w:tc>
          <w:tcPr>
            <w:tcW w:type="dxa" w:w="3000"/>
            <w:tcBorders>
              <w:top w:val="single" w:color="2A3547" w:sz="1"/>
              <w:left w:val="single" w:color="2A3547" w:sz="1"/>
              <w:bottom w:val="single" w:color="2A3547" w:sz="1"/>
              <w:right w:val="single" w:color="2A3547" w:sz="1"/>
            </w:tcBorders>
            <w:shd w:fill="161B22" w:val="clear"/>
            <w:tcMar>
              <w:top w:type="dxa" w:w="80"/>
              <w:left w:type="dxa" w:w="120"/>
              <w:bottom w:type="dxa" w:w="80"/>
              <w:right w:type="dxa" w:w="80"/>
            </w:tcMar>
          </w:tcPr>
          <w:p>
            <w:r>
              <w:rPr>
                <w:rFonts w:ascii="Arial" w:cs="Arial" w:eastAsia="Arial" w:hAnsi="Arial"/>
                <w:b/>
                <w:bCs/>
                <w:color w:val="E8EDF2"/>
                <w:sz w:val="19"/>
                <w:szCs w:val="19"/>
              </w:rPr>
              <w:t xml:space="preserve">Monitoring / Logging</w:t>
            </w:r>
          </w:p>
        </w:tc>
        <w:tc>
          <w:tcPr>
            <w:tcW w:type="dxa" w:w="6360"/>
            <w:tcBorders>
              <w:top w:val="single" w:color="2A3547" w:sz="1"/>
              <w:left w:val="single" w:color="2A3547" w:sz="1"/>
              <w:bottom w:val="single" w:color="2A3547" w:sz="1"/>
              <w:right w:val="single" w:color="2A3547" w:sz="1"/>
            </w:tcBorders>
            <w:shd w:fill="1C2333" w:val="clear"/>
            <w:tcMar>
              <w:top w:type="dxa" w:w="80"/>
              <w:left w:type="dxa" w:w="120"/>
              <w:bottom w:type="dxa" w:w="80"/>
              <w:right w:type="dxa" w:w="80"/>
            </w:tcMar>
          </w:tcPr>
          <w:p>
            <w:r>
              <w:rPr>
                <w:rFonts w:ascii="Arial" w:cs="Arial" w:eastAsia="Arial" w:hAnsi="Arial"/>
                <w:color w:val="8B9AB0"/>
                <w:sz w:val="19"/>
                <w:szCs w:val="19"/>
              </w:rPr>
              <w:t xml:space="preserve">DataDog or equivalent; all agent actions logged as structured events with project ID, agent ID, timestamp, outcome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117" w:val="clear"/>
            <w:tcMar>
              <w:top w:type="dxa" w:w="280"/>
              <w:left w:type="dxa" w:w="400"/>
              <w:bottom w:type="dxa" w:w="280"/>
              <w:right w:type="dxa" w:w="400"/>
            </w:tcMar>
          </w:tcPr>
          <w:p>
            <w:pPr>
              <w:spacing w:before="0" w:after="60"/>
              <w:jc w:val="center"/>
            </w:pPr>
            <w:r>
              <w:rPr>
                <w:rFonts w:ascii="Arial" w:cs="Arial" w:eastAsia="Arial" w:hAnsi="Arial"/>
                <w:b/>
                <w:bCs/>
                <w:color w:val="FF6B2B"/>
                <w:sz w:val="28"/>
                <w:szCs w:val="28"/>
              </w:rPr>
              <w:t xml:space="preserve">The permit doesn’t change. The grind does.</w:t>
            </w:r>
          </w:p>
          <w:p>
            <w:pPr>
              <w:jc w:val="center"/>
            </w:pPr>
            <w:r>
              <w:rPr>
                <w:rFonts w:ascii="Arial" w:cs="Arial" w:eastAsia="Arial" w:hAnsi="Arial"/>
                <w:color w:val="4A9EE0"/>
                <w:sz w:val="22"/>
                <w:szCs w:val="22"/>
              </w:rPr>
              <w:t xml:space="preserve">9 agents. 1 human gate. Every application filed right the first time.</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B2B" w:sz="4" w:space="4"/>
      </w:pBdr>
      <w:tabs>
        <w:tab w:val="right" w:pos="9026"/>
      </w:tabs>
      <w:spacing w:before="80" w:after="0"/>
    </w:pPr>
    <w:r>
      <w:rPr>
        <w:rFonts w:ascii="Arial" w:cs="Arial" w:eastAsia="Arial" w:hAnsi="Arial"/>
        <w:color w:val="8B9AB0"/>
        <w:sz w:val="16"/>
        <w:szCs w:val="16"/>
      </w:rPr>
      <w:t xml:space="preserve">Confidential — Internal Architecture Document — Commun-ET, LLC</w:t>
    </w:r>
    <w:r>
      <w:rPr>
        <w:rFonts w:ascii="Arial" w:cs="Arial" w:eastAsia="Arial" w:hAnsi="Arial"/>
        <w:color w:val="8B9AB0"/>
        <w:sz w:val="16"/>
        <w:szCs w:val="16"/>
      </w:rPr>
      <w:t xml:space="preserve">	Page </w:t>
    </w:r>
    <w:r>
      <w:rPr>
        <w:rFonts w:ascii="Arial" w:cs="Arial" w:eastAsia="Arial" w:hAnsi="Arial"/>
        <w:color w:val="8B9A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2B" w:sz="6" w:space="4"/>
      </w:pBdr>
      <w:spacing w:before="0" w:after="100"/>
      <w:jc w:val="right"/>
    </w:pPr>
    <w:r>
      <w:rPr>
        <w:rFonts w:ascii="Arial" w:cs="Arial" w:eastAsia="Arial" w:hAnsi="Arial"/>
        <w:b/>
        <w:bCs/>
        <w:color w:val="FF6B2B"/>
        <w:sz w:val="18"/>
        <w:szCs w:val="18"/>
      </w:rPr>
      <w:t xml:space="preserve">COMMUN-ET, LLC  </w:t>
    </w:r>
    <w:r>
      <w:rPr>
        <w:rFonts w:ascii="Arial" w:cs="Arial" w:eastAsia="Arial" w:hAnsi="Arial"/>
        <w:color w:val="8B9AB0"/>
        <w:sz w:val="18"/>
        <w:szCs w:val="18"/>
      </w:rPr>
      <w:t xml:space="preserve">Insight™ — DC DOB PermitWizard Agentic AI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Arial" w:cs="Arial" w:eastAsia="Arial" w:hAnsi="Arial"/>
      <w:b/>
      <w:bCs/>
      <w:color w:val="FF6B2B"/>
      <w:sz w:val="36"/>
      <w:szCs w:val="36"/>
    </w:rPr>
  </w:style>
  <w:style w:type="paragraph" w:styleId="Heading2">
    <w:name w:val="Heading 2"/>
    <w:basedOn w:val="Normal"/>
    <w:next w:val="Normal"/>
    <w:pPr>
      <w:spacing w:before="260" w:after="80"/>
      <w:outlineLvl w:val="1"/>
    </w:pPr>
    <w:rPr>
      <w:rFonts w:ascii="Arial" w:cs="Arial" w:eastAsia="Arial" w:hAnsi="Arial"/>
      <w:b/>
      <w:bCs/>
      <w:color w:val="E8EDF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2026-03-07T14:18:28.347Z</dcterms:created>
  <dcterms:modified xsi:type="dcterms:W3CDTF">2026-03-07T14:18:28.366Z</dcterms:modified>
</cp:coreProperties>
</file>

<file path=docProps/custom.xml><?xml version="1.0" encoding="utf-8"?>
<Properties xmlns="http://schemas.openxmlformats.org/officeDocument/2006/custom-properties" xmlns:vt="http://schemas.openxmlformats.org/officeDocument/2006/docPropsVTypes"/>
</file>