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260B" w14:textId="77777777" w:rsidR="000D3638" w:rsidRDefault="000D3638" w:rsidP="00C74BFC">
      <w:pPr>
        <w:jc w:val="both"/>
        <w:rPr>
          <w:rFonts w:ascii="DIN" w:eastAsia="DIN" w:hAnsi="DIN" w:cs="DIN"/>
          <w:i/>
          <w:color w:val="FF0000"/>
        </w:rPr>
      </w:pPr>
      <w:r>
        <w:rPr>
          <w:rFonts w:ascii="DIN" w:eastAsia="DIN" w:hAnsi="DIN" w:cs="DIN"/>
          <w:i/>
          <w:color w:val="FF0000"/>
        </w:rPr>
        <w:t xml:space="preserve">Préambule : </w:t>
      </w:r>
    </w:p>
    <w:p w14:paraId="068562F8" w14:textId="77777777" w:rsidR="000D3638" w:rsidRDefault="000D3638" w:rsidP="00C74BFC">
      <w:pPr>
        <w:jc w:val="both"/>
        <w:rPr>
          <w:rFonts w:ascii="DIN" w:eastAsia="DIN" w:hAnsi="DIN" w:cs="DIN"/>
          <w:i/>
          <w:color w:val="FF0000"/>
        </w:rPr>
      </w:pPr>
      <w:bookmarkStart w:id="0" w:name="_heading=h.gjdgxs" w:colFirst="0" w:colLast="0"/>
      <w:bookmarkEnd w:id="0"/>
      <w:r>
        <w:rPr>
          <w:rFonts w:ascii="DIN" w:eastAsia="DIN" w:hAnsi="DIN" w:cs="DIN"/>
          <w:i/>
          <w:color w:val="FF0000"/>
        </w:rPr>
        <w:t xml:space="preserve">L’objet de ce document type est de vous mettre en lumière les passages importants à vérifier dans votre lettre de mission. </w:t>
      </w:r>
    </w:p>
    <w:p w14:paraId="46327805" w14:textId="77777777" w:rsidR="000D3638" w:rsidRDefault="000D3638" w:rsidP="00C74BFC">
      <w:pPr>
        <w:jc w:val="both"/>
        <w:rPr>
          <w:rFonts w:ascii="DIN" w:eastAsia="DIN" w:hAnsi="DIN" w:cs="DIN"/>
          <w:i/>
          <w:color w:val="FF0000"/>
        </w:rPr>
      </w:pPr>
      <w:r>
        <w:rPr>
          <w:rFonts w:ascii="DIN" w:eastAsia="DIN" w:hAnsi="DIN" w:cs="DIN"/>
          <w:i/>
          <w:color w:val="FF0000"/>
        </w:rPr>
        <w:t xml:space="preserve">Il s’agit également de vous donner les préconisations de la CNJE en matière de répartition des tâches entre l’expert-comptable et vous-même. </w:t>
      </w:r>
    </w:p>
    <w:p w14:paraId="19332CF0" w14:textId="77777777" w:rsidR="000D3638" w:rsidRDefault="000D3638" w:rsidP="00C74BFC">
      <w:pPr>
        <w:jc w:val="both"/>
        <w:rPr>
          <w:rFonts w:ascii="DIN" w:eastAsia="DIN" w:hAnsi="DIN" w:cs="DIN"/>
          <w:i/>
          <w:color w:val="FF0000"/>
        </w:rPr>
      </w:pPr>
      <w:r>
        <w:rPr>
          <w:rFonts w:ascii="DIN" w:eastAsia="DIN" w:hAnsi="DIN" w:cs="DIN"/>
          <w:i/>
          <w:color w:val="FF0000"/>
        </w:rPr>
        <w:t xml:space="preserve">L’objectif est de vous aider à développer un esprit critique, vous permettant de challenger les mentions de la lettre de mission que vous proposerait votre expert-comptable. </w:t>
      </w:r>
    </w:p>
    <w:p w14:paraId="5B4FB3D9" w14:textId="1484B296" w:rsidR="000D3638" w:rsidRDefault="000D3638" w:rsidP="00C74BFC">
      <w:pPr>
        <w:jc w:val="both"/>
        <w:rPr>
          <w:rFonts w:ascii="DIN" w:eastAsia="DIN" w:hAnsi="DIN" w:cs="DIN"/>
          <w:i/>
          <w:color w:val="FF0000"/>
        </w:rPr>
      </w:pPr>
      <w:r>
        <w:rPr>
          <w:rFonts w:ascii="DIN" w:eastAsia="DIN" w:hAnsi="DIN" w:cs="DIN"/>
          <w:i/>
          <w:color w:val="FF0000"/>
        </w:rPr>
        <w:t xml:space="preserve">En cas de doute, n’hésitez pas à nous envoyer votre lettre de mission </w:t>
      </w:r>
      <w:r w:rsidR="00C74BFC">
        <w:rPr>
          <w:rFonts w:ascii="DIN" w:eastAsia="DIN" w:hAnsi="DIN" w:cs="DIN"/>
          <w:i/>
          <w:color w:val="FF0000"/>
        </w:rPr>
        <w:t xml:space="preserve">via </w:t>
      </w:r>
      <w:proofErr w:type="spellStart"/>
      <w:r w:rsidR="00C74BFC">
        <w:rPr>
          <w:rFonts w:ascii="DIN" w:eastAsia="DIN" w:hAnsi="DIN" w:cs="DIN"/>
          <w:i/>
          <w:color w:val="FF0000"/>
        </w:rPr>
        <w:t>KiwiX</w:t>
      </w:r>
      <w:proofErr w:type="spellEnd"/>
      <w:r w:rsidR="00C74BFC">
        <w:rPr>
          <w:rFonts w:ascii="DIN" w:eastAsia="DIN" w:hAnsi="DIN" w:cs="DIN"/>
          <w:i/>
          <w:color w:val="FF0000"/>
        </w:rPr>
        <w:t> : Contacter la CNJE</w:t>
      </w:r>
      <w:r>
        <w:rPr>
          <w:rFonts w:ascii="DIN" w:eastAsia="DIN" w:hAnsi="DIN" w:cs="DIN"/>
          <w:i/>
          <w:color w:val="FF0000"/>
        </w:rPr>
        <w:t xml:space="preserve"> pour relecture avant signature.</w:t>
      </w:r>
    </w:p>
    <w:p w14:paraId="1BB382AC" w14:textId="77777777" w:rsidR="000D3638" w:rsidRDefault="000D3638" w:rsidP="00C74BFC">
      <w:pPr>
        <w:jc w:val="both"/>
        <w:rPr>
          <w:rFonts w:ascii="DIN" w:eastAsia="DIN" w:hAnsi="DIN" w:cs="DIN"/>
          <w:i/>
          <w:color w:val="FF0000"/>
        </w:rPr>
      </w:pPr>
      <w:r w:rsidRPr="000D3638">
        <w:rPr>
          <w:rFonts w:ascii="DIN" w:eastAsia="DIN" w:hAnsi="DIN" w:cs="DIN"/>
          <w:i/>
          <w:color w:val="FF0000"/>
          <w:highlight w:val="yellow"/>
        </w:rPr>
        <w:t>Les mentions en jaune sont à remplacer.</w:t>
      </w:r>
      <w:r>
        <w:rPr>
          <w:rFonts w:ascii="DIN" w:eastAsia="DIN" w:hAnsi="DIN" w:cs="DIN"/>
          <w:i/>
          <w:color w:val="FF0000"/>
        </w:rPr>
        <w:t xml:space="preserve"> </w:t>
      </w:r>
    </w:p>
    <w:p w14:paraId="50A8B71B" w14:textId="77777777" w:rsidR="00042222" w:rsidRDefault="00042222">
      <w:pPr>
        <w:rPr>
          <w:rFonts w:ascii="DIN" w:hAnsi="DIN"/>
          <w:highlight w:val="yellow"/>
        </w:rPr>
      </w:pPr>
      <w:r>
        <w:rPr>
          <w:rFonts w:ascii="DIN" w:hAnsi="DIN"/>
          <w:highlight w:val="yellow"/>
        </w:rPr>
        <w:br w:type="page"/>
      </w:r>
    </w:p>
    <w:p w14:paraId="7385709B" w14:textId="77777777" w:rsidR="000D3638" w:rsidRDefault="000D3638" w:rsidP="00C74BFC">
      <w:pPr>
        <w:pStyle w:val="Titre1"/>
        <w:jc w:val="both"/>
      </w:pPr>
      <w:r>
        <w:lastRenderedPageBreak/>
        <w:t xml:space="preserve">Conditions générales </w:t>
      </w:r>
    </w:p>
    <w:p w14:paraId="613DD66E" w14:textId="77777777" w:rsidR="000D3638" w:rsidRDefault="000D3638" w:rsidP="00C74BFC">
      <w:pPr>
        <w:jc w:val="both"/>
        <w:rPr>
          <w:rFonts w:ascii="DIN" w:eastAsia="DIN" w:hAnsi="DIN" w:cs="DIN"/>
          <w:color w:val="FF0000"/>
        </w:rPr>
      </w:pPr>
      <w:r>
        <w:rPr>
          <w:rFonts w:ascii="DIN" w:eastAsia="DIN" w:hAnsi="DIN" w:cs="DIN"/>
          <w:color w:val="FF0000"/>
        </w:rPr>
        <w:t xml:space="preserve">Mentions à vérifier : </w:t>
      </w:r>
    </w:p>
    <w:p w14:paraId="1C581800" w14:textId="77777777" w:rsidR="000D3638" w:rsidRDefault="000D3638" w:rsidP="00C74BFC">
      <w:pPr>
        <w:numPr>
          <w:ilvl w:val="0"/>
          <w:numId w:val="11"/>
        </w:numPr>
        <w:jc w:val="both"/>
        <w:rPr>
          <w:rFonts w:ascii="DIN" w:eastAsia="DIN" w:hAnsi="DIN" w:cs="DIN"/>
        </w:rPr>
      </w:pPr>
      <w:r>
        <w:rPr>
          <w:rFonts w:ascii="DIN" w:eastAsia="DIN" w:hAnsi="DIN" w:cs="DIN"/>
        </w:rPr>
        <w:t xml:space="preserve">Renouvellement de la lettre de mission : </w:t>
      </w:r>
    </w:p>
    <w:p w14:paraId="7A9D69E6" w14:textId="77777777" w:rsidR="000D3638" w:rsidRDefault="000D3638" w:rsidP="00C74BFC">
      <w:pPr>
        <w:ind w:left="720"/>
        <w:jc w:val="both"/>
        <w:rPr>
          <w:rFonts w:ascii="DIN" w:eastAsia="DIN" w:hAnsi="DIN" w:cs="DIN"/>
        </w:rPr>
      </w:pPr>
      <w:r>
        <w:rPr>
          <w:rFonts w:ascii="DIN" w:eastAsia="DIN" w:hAnsi="DIN" w:cs="DIN"/>
        </w:rPr>
        <w:t xml:space="preserve">Renouvellement de la présente lettre de mission par </w:t>
      </w:r>
      <w:r>
        <w:rPr>
          <w:rFonts w:ascii="DIN" w:eastAsia="DIN" w:hAnsi="DIN" w:cs="DIN"/>
          <w:b/>
        </w:rPr>
        <w:t>tacite reconduction</w:t>
      </w:r>
      <w:r>
        <w:rPr>
          <w:rFonts w:ascii="DIN" w:eastAsia="DIN" w:hAnsi="DIN" w:cs="DIN"/>
        </w:rPr>
        <w:t xml:space="preserve">. </w:t>
      </w:r>
    </w:p>
    <w:p w14:paraId="03F49BB6" w14:textId="77777777" w:rsidR="000D3638" w:rsidRDefault="000D3638" w:rsidP="00C74BFC">
      <w:pPr>
        <w:numPr>
          <w:ilvl w:val="0"/>
          <w:numId w:val="11"/>
        </w:numPr>
        <w:jc w:val="both"/>
        <w:rPr>
          <w:rFonts w:ascii="DIN" w:eastAsia="DIN" w:hAnsi="DIN" w:cs="DIN"/>
        </w:rPr>
      </w:pPr>
      <w:r>
        <w:rPr>
          <w:rFonts w:ascii="DIN" w:eastAsia="DIN" w:hAnsi="DIN" w:cs="DIN"/>
        </w:rPr>
        <w:t xml:space="preserve">Tarification de la lettre de mission : </w:t>
      </w:r>
    </w:p>
    <w:p w14:paraId="5A065208" w14:textId="77777777" w:rsidR="000D3638" w:rsidRDefault="000D3638" w:rsidP="00C74BFC">
      <w:pPr>
        <w:ind w:left="720"/>
        <w:jc w:val="both"/>
        <w:rPr>
          <w:rFonts w:ascii="DIN" w:eastAsia="DIN" w:hAnsi="DIN" w:cs="DIN"/>
        </w:rPr>
      </w:pPr>
      <w:r>
        <w:rPr>
          <w:rFonts w:ascii="DIN" w:eastAsia="DIN" w:hAnsi="DIN" w:cs="DIN"/>
        </w:rPr>
        <w:t xml:space="preserve">La tarification ne doit pas changer sans accord préalable de la Junior. Le changement peut être dû à une augmentation du volume ou du chiffre d’affaires. Attention, évitez les tarifications au temps passé. </w:t>
      </w:r>
    </w:p>
    <w:p w14:paraId="3F85F099" w14:textId="77777777" w:rsidR="000D3638" w:rsidRDefault="000D3638" w:rsidP="00C74BFC">
      <w:pPr>
        <w:pStyle w:val="Titre1"/>
        <w:jc w:val="both"/>
        <w:rPr>
          <w:rFonts w:eastAsia="DIN"/>
        </w:rPr>
      </w:pPr>
      <w:r>
        <w:rPr>
          <w:rFonts w:eastAsia="DIN"/>
        </w:rPr>
        <w:t>Annexes</w:t>
      </w:r>
    </w:p>
    <w:p w14:paraId="106BE272" w14:textId="77777777" w:rsidR="000D3638" w:rsidRDefault="000D3638" w:rsidP="00C74BFC">
      <w:pPr>
        <w:jc w:val="both"/>
        <w:rPr>
          <w:rFonts w:ascii="DIN" w:eastAsia="DIN" w:hAnsi="DIN" w:cs="DIN"/>
          <w:i/>
          <w:color w:val="FF0000"/>
        </w:rPr>
      </w:pPr>
      <w:r>
        <w:rPr>
          <w:rFonts w:ascii="DIN" w:eastAsia="DIN" w:hAnsi="DIN" w:cs="DIN"/>
          <w:i/>
          <w:color w:val="FF0000"/>
        </w:rPr>
        <w:t>(Vous pourrez trouver dans les annexes  un calendrier plus détaillé, le détail des missions à réaliser, un échéancier de paiement. Nous ne présentons qu’une répartition indicative des tâches types entre l’expert-comptable et la Junior, recommandée par la CNJE)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0D3638" w14:paraId="42922630" w14:textId="77777777" w:rsidTr="00A37B7D">
        <w:tc>
          <w:tcPr>
            <w:tcW w:w="2265" w:type="dxa"/>
          </w:tcPr>
          <w:p w14:paraId="15DAE01F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Répartition des travaux</w:t>
            </w:r>
          </w:p>
        </w:tc>
        <w:tc>
          <w:tcPr>
            <w:tcW w:w="2265" w:type="dxa"/>
          </w:tcPr>
          <w:p w14:paraId="08D4BB4A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  <w:highlight w:val="yellow"/>
              </w:rPr>
              <w:t>[Nom Cabinet]</w:t>
            </w:r>
          </w:p>
        </w:tc>
        <w:tc>
          <w:tcPr>
            <w:tcW w:w="2266" w:type="dxa"/>
          </w:tcPr>
          <w:p w14:paraId="6421B7EF" w14:textId="77777777" w:rsidR="000D3638" w:rsidRDefault="000D3638" w:rsidP="00C74BFC">
            <w:pPr>
              <w:jc w:val="center"/>
              <w:rPr>
                <w:rFonts w:ascii="DIN" w:eastAsia="DIN" w:hAnsi="DIN" w:cs="DIN"/>
                <w:highlight w:val="yellow"/>
              </w:rPr>
            </w:pPr>
            <w:r>
              <w:rPr>
                <w:rFonts w:ascii="DIN" w:eastAsia="DIN" w:hAnsi="DIN" w:cs="DIN"/>
                <w:highlight w:val="yellow"/>
              </w:rPr>
              <w:t>[Nom Junior]</w:t>
            </w:r>
          </w:p>
        </w:tc>
        <w:tc>
          <w:tcPr>
            <w:tcW w:w="2266" w:type="dxa"/>
          </w:tcPr>
          <w:p w14:paraId="7C9A328C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Périodicité</w:t>
            </w:r>
          </w:p>
        </w:tc>
      </w:tr>
      <w:tr w:rsidR="000D3638" w14:paraId="3A8F52CE" w14:textId="77777777" w:rsidTr="00A37B7D">
        <w:tc>
          <w:tcPr>
            <w:tcW w:w="2265" w:type="dxa"/>
            <w:shd w:val="clear" w:color="auto" w:fill="E7E6E6"/>
          </w:tcPr>
          <w:p w14:paraId="7BCFC6B1" w14:textId="77777777" w:rsidR="000D3638" w:rsidRDefault="000D3638" w:rsidP="00C74BFC">
            <w:pPr>
              <w:jc w:val="center"/>
              <w:rPr>
                <w:rFonts w:ascii="DIN" w:eastAsia="DIN" w:hAnsi="DIN" w:cs="DIN"/>
                <w:b/>
              </w:rPr>
            </w:pPr>
            <w:r>
              <w:rPr>
                <w:rFonts w:ascii="DIN" w:eastAsia="DIN" w:hAnsi="DIN" w:cs="DIN"/>
                <w:b/>
              </w:rPr>
              <w:t>Tenue Comptable</w:t>
            </w:r>
          </w:p>
        </w:tc>
        <w:tc>
          <w:tcPr>
            <w:tcW w:w="2265" w:type="dxa"/>
            <w:shd w:val="clear" w:color="auto" w:fill="E7E6E6"/>
          </w:tcPr>
          <w:p w14:paraId="6D066A89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  <w:shd w:val="clear" w:color="auto" w:fill="E7E6E6"/>
          </w:tcPr>
          <w:p w14:paraId="2A31FBE3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  <w:shd w:val="clear" w:color="auto" w:fill="E7E6E6"/>
          </w:tcPr>
          <w:p w14:paraId="5A98FF8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</w:tr>
      <w:tr w:rsidR="000D3638" w14:paraId="7A33784F" w14:textId="77777777" w:rsidTr="00A37B7D">
        <w:tc>
          <w:tcPr>
            <w:tcW w:w="2265" w:type="dxa"/>
          </w:tcPr>
          <w:p w14:paraId="2768793C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Journaux d’achats</w:t>
            </w:r>
          </w:p>
        </w:tc>
        <w:tc>
          <w:tcPr>
            <w:tcW w:w="2265" w:type="dxa"/>
          </w:tcPr>
          <w:p w14:paraId="6DFFC8D0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08C7C17C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7256778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Quotidien</w:t>
            </w:r>
          </w:p>
        </w:tc>
      </w:tr>
      <w:tr w:rsidR="000D3638" w14:paraId="035FF659" w14:textId="77777777" w:rsidTr="00A37B7D">
        <w:tc>
          <w:tcPr>
            <w:tcW w:w="2265" w:type="dxa"/>
          </w:tcPr>
          <w:p w14:paraId="239B76FF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Journaux de ventes</w:t>
            </w:r>
          </w:p>
        </w:tc>
        <w:tc>
          <w:tcPr>
            <w:tcW w:w="2265" w:type="dxa"/>
          </w:tcPr>
          <w:p w14:paraId="1E30D7B3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52CFB74E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05B81DE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Quotidien</w:t>
            </w:r>
          </w:p>
        </w:tc>
      </w:tr>
      <w:tr w:rsidR="000D3638" w14:paraId="7420CC9C" w14:textId="77777777" w:rsidTr="00A37B7D">
        <w:tc>
          <w:tcPr>
            <w:tcW w:w="2265" w:type="dxa"/>
          </w:tcPr>
          <w:p w14:paraId="137A562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Journaux de Trésorerie (journaux de banque)</w:t>
            </w:r>
          </w:p>
        </w:tc>
        <w:tc>
          <w:tcPr>
            <w:tcW w:w="2265" w:type="dxa"/>
          </w:tcPr>
          <w:p w14:paraId="5746E06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551B433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11EE0ACB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Quotidien</w:t>
            </w:r>
          </w:p>
        </w:tc>
      </w:tr>
      <w:tr w:rsidR="000D3638" w14:paraId="3EA8CCB3" w14:textId="77777777" w:rsidTr="00A37B7D">
        <w:tc>
          <w:tcPr>
            <w:tcW w:w="2265" w:type="dxa"/>
          </w:tcPr>
          <w:p w14:paraId="295665B9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Journaux de Bulletins de Versement</w:t>
            </w:r>
          </w:p>
        </w:tc>
        <w:tc>
          <w:tcPr>
            <w:tcW w:w="2265" w:type="dxa"/>
          </w:tcPr>
          <w:p w14:paraId="7289372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1515E84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047CB14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Quotidien</w:t>
            </w:r>
          </w:p>
        </w:tc>
      </w:tr>
      <w:tr w:rsidR="000D3638" w14:paraId="7BB3CB0D" w14:textId="77777777" w:rsidTr="00A37B7D">
        <w:tc>
          <w:tcPr>
            <w:tcW w:w="2265" w:type="dxa"/>
          </w:tcPr>
          <w:p w14:paraId="6CC1D0CE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Journaux d’Opérations diverses</w:t>
            </w:r>
          </w:p>
        </w:tc>
        <w:tc>
          <w:tcPr>
            <w:tcW w:w="2265" w:type="dxa"/>
          </w:tcPr>
          <w:p w14:paraId="6274709C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2811019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2F76CD6E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6713A335" w14:textId="77777777" w:rsidTr="00A37B7D">
        <w:tc>
          <w:tcPr>
            <w:tcW w:w="2265" w:type="dxa"/>
          </w:tcPr>
          <w:p w14:paraId="3B81A69D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Journaux d’A-nouveaux</w:t>
            </w:r>
          </w:p>
        </w:tc>
        <w:tc>
          <w:tcPr>
            <w:tcW w:w="2265" w:type="dxa"/>
          </w:tcPr>
          <w:p w14:paraId="77E1964B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244FC37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230A8EC3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6989D211" w14:textId="77777777" w:rsidTr="00A37B7D">
        <w:tc>
          <w:tcPr>
            <w:tcW w:w="2265" w:type="dxa"/>
          </w:tcPr>
          <w:p w14:paraId="77691652" w14:textId="41C3DEC9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Etablissement des Etats de Rapprochements bancaires et contrôle</w:t>
            </w:r>
          </w:p>
        </w:tc>
        <w:tc>
          <w:tcPr>
            <w:tcW w:w="2265" w:type="dxa"/>
          </w:tcPr>
          <w:p w14:paraId="158A417A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73FE9832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09219CD2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Mensuel</w:t>
            </w:r>
          </w:p>
        </w:tc>
      </w:tr>
      <w:tr w:rsidR="000D3638" w14:paraId="3948C892" w14:textId="77777777" w:rsidTr="00A37B7D">
        <w:tc>
          <w:tcPr>
            <w:tcW w:w="2265" w:type="dxa"/>
          </w:tcPr>
          <w:p w14:paraId="674CD5B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Revue des états de rapprochements bancaires et contrôles</w:t>
            </w:r>
          </w:p>
        </w:tc>
        <w:tc>
          <w:tcPr>
            <w:tcW w:w="2265" w:type="dxa"/>
          </w:tcPr>
          <w:p w14:paraId="09AF3A1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2253C305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026D61AD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Semestriel</w:t>
            </w:r>
          </w:p>
        </w:tc>
      </w:tr>
      <w:tr w:rsidR="000D3638" w14:paraId="07A19803" w14:textId="77777777" w:rsidTr="00A37B7D">
        <w:tc>
          <w:tcPr>
            <w:tcW w:w="2265" w:type="dxa"/>
          </w:tcPr>
          <w:p w14:paraId="38434EA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Pointage et justification des comptes clients et fournisseurs</w:t>
            </w:r>
          </w:p>
        </w:tc>
        <w:tc>
          <w:tcPr>
            <w:tcW w:w="2265" w:type="dxa"/>
          </w:tcPr>
          <w:p w14:paraId="092D1D5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22CB165B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642557AE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Mensuel et contrôle à la clôture</w:t>
            </w:r>
          </w:p>
        </w:tc>
      </w:tr>
      <w:tr w:rsidR="000D3638" w14:paraId="10BC201D" w14:textId="77777777" w:rsidTr="00A37B7D">
        <w:tc>
          <w:tcPr>
            <w:tcW w:w="2265" w:type="dxa"/>
          </w:tcPr>
          <w:p w14:paraId="5D5170D9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lastRenderedPageBreak/>
              <w:t>Pointage et justification des comptes généraux</w:t>
            </w:r>
          </w:p>
        </w:tc>
        <w:tc>
          <w:tcPr>
            <w:tcW w:w="2265" w:type="dxa"/>
          </w:tcPr>
          <w:p w14:paraId="186312CB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2BD4C70B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1CE4CDE9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Mensuel et contrôle à la clôture</w:t>
            </w:r>
          </w:p>
        </w:tc>
      </w:tr>
      <w:tr w:rsidR="000D3638" w14:paraId="02797D7B" w14:textId="77777777" w:rsidTr="00A37B7D">
        <w:tc>
          <w:tcPr>
            <w:tcW w:w="2265" w:type="dxa"/>
          </w:tcPr>
          <w:p w14:paraId="1C28C26B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Contrôle par sondage des pièces justificatives</w:t>
            </w:r>
          </w:p>
        </w:tc>
        <w:tc>
          <w:tcPr>
            <w:tcW w:w="2265" w:type="dxa"/>
          </w:tcPr>
          <w:p w14:paraId="62B73A1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2A3C7F8A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6DF59C49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45237603" w14:textId="77777777" w:rsidTr="00A37B7D">
        <w:tc>
          <w:tcPr>
            <w:tcW w:w="2265" w:type="dxa"/>
          </w:tcPr>
          <w:p w14:paraId="09CF8CF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Tableau informatiques des immobilisations et calcul des amortissements</w:t>
            </w:r>
          </w:p>
        </w:tc>
        <w:tc>
          <w:tcPr>
            <w:tcW w:w="2265" w:type="dxa"/>
          </w:tcPr>
          <w:p w14:paraId="7A5F727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3AB7196F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1D579CB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792FA0DB" w14:textId="77777777" w:rsidTr="00A37B7D">
        <w:tc>
          <w:tcPr>
            <w:tcW w:w="2265" w:type="dxa"/>
            <w:shd w:val="clear" w:color="auto" w:fill="E7E6E6"/>
          </w:tcPr>
          <w:p w14:paraId="7C733C02" w14:textId="77777777" w:rsidR="000D3638" w:rsidRDefault="000D3638" w:rsidP="00C74BFC">
            <w:pPr>
              <w:jc w:val="center"/>
              <w:rPr>
                <w:rFonts w:ascii="DIN" w:eastAsia="DIN" w:hAnsi="DIN" w:cs="DIN"/>
                <w:b/>
              </w:rPr>
            </w:pPr>
            <w:r>
              <w:rPr>
                <w:rFonts w:ascii="DIN" w:eastAsia="DIN" w:hAnsi="DIN" w:cs="DIN"/>
                <w:b/>
              </w:rPr>
              <w:t>Travaux de clôture</w:t>
            </w:r>
          </w:p>
        </w:tc>
        <w:tc>
          <w:tcPr>
            <w:tcW w:w="2265" w:type="dxa"/>
            <w:shd w:val="clear" w:color="auto" w:fill="E7E6E6"/>
          </w:tcPr>
          <w:p w14:paraId="6BD220A5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  <w:shd w:val="clear" w:color="auto" w:fill="E7E6E6"/>
          </w:tcPr>
          <w:p w14:paraId="773B46F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  <w:shd w:val="clear" w:color="auto" w:fill="E7E6E6"/>
          </w:tcPr>
          <w:p w14:paraId="381E304C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</w:tr>
      <w:tr w:rsidR="000D3638" w14:paraId="2C8C7456" w14:textId="77777777" w:rsidTr="00A37B7D">
        <w:tc>
          <w:tcPr>
            <w:tcW w:w="2265" w:type="dxa"/>
          </w:tcPr>
          <w:p w14:paraId="333AFC2D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Contrôle de la cohérence de la comptabilité</w:t>
            </w:r>
          </w:p>
        </w:tc>
        <w:tc>
          <w:tcPr>
            <w:tcW w:w="2265" w:type="dxa"/>
          </w:tcPr>
          <w:p w14:paraId="78E925AF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2357948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71E9AC8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7E93098F" w14:textId="77777777" w:rsidTr="00A37B7D">
        <w:tc>
          <w:tcPr>
            <w:tcW w:w="2265" w:type="dxa"/>
          </w:tcPr>
          <w:p w14:paraId="2357D133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Etablissement du dossier de révision</w:t>
            </w:r>
          </w:p>
        </w:tc>
        <w:tc>
          <w:tcPr>
            <w:tcW w:w="2265" w:type="dxa"/>
          </w:tcPr>
          <w:p w14:paraId="7B014FB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7C5C168A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73D99E19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61B589C6" w14:textId="77777777" w:rsidTr="00A37B7D">
        <w:tc>
          <w:tcPr>
            <w:tcW w:w="2265" w:type="dxa"/>
          </w:tcPr>
          <w:p w14:paraId="69E2A31D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Etablissement des états comparatifs de fin d’exercice (Bilan, Compte de résultat et annexes comptables)</w:t>
            </w:r>
          </w:p>
        </w:tc>
        <w:tc>
          <w:tcPr>
            <w:tcW w:w="2265" w:type="dxa"/>
          </w:tcPr>
          <w:p w14:paraId="36988C9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15565CC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2D3191DD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59BBEEC7" w14:textId="77777777" w:rsidTr="00A37B7D">
        <w:tc>
          <w:tcPr>
            <w:tcW w:w="2265" w:type="dxa"/>
          </w:tcPr>
          <w:p w14:paraId="0C735D8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Etablissement des documents comptables de fin d’exercice (Grand Livre général, Balance Général, Journaux)</w:t>
            </w:r>
          </w:p>
        </w:tc>
        <w:tc>
          <w:tcPr>
            <w:tcW w:w="2265" w:type="dxa"/>
          </w:tcPr>
          <w:p w14:paraId="40D6D8E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0D4C1B3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3BBCEC2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62AB7DB8" w14:textId="77777777" w:rsidTr="00A37B7D">
        <w:tc>
          <w:tcPr>
            <w:tcW w:w="2265" w:type="dxa"/>
          </w:tcPr>
          <w:p w14:paraId="19C42FFF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Sauvegarde des données informatiques de l’exercice</w:t>
            </w:r>
          </w:p>
        </w:tc>
        <w:tc>
          <w:tcPr>
            <w:tcW w:w="2265" w:type="dxa"/>
          </w:tcPr>
          <w:p w14:paraId="16720C1A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3046F95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2DD86BC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43F3F33A" w14:textId="77777777" w:rsidTr="00A37B7D">
        <w:tc>
          <w:tcPr>
            <w:tcW w:w="2265" w:type="dxa"/>
          </w:tcPr>
          <w:p w14:paraId="6802E02C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Etablissement du fichier FEC de l’exercice clos</w:t>
            </w:r>
          </w:p>
        </w:tc>
        <w:tc>
          <w:tcPr>
            <w:tcW w:w="2265" w:type="dxa"/>
          </w:tcPr>
          <w:p w14:paraId="515EDA2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3EE36EF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3624FC6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2D1131E6" w14:textId="77777777" w:rsidTr="00A37B7D">
        <w:tc>
          <w:tcPr>
            <w:tcW w:w="2265" w:type="dxa"/>
          </w:tcPr>
          <w:p w14:paraId="00C6E2EC" w14:textId="1246AB00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Archivage des pièces comptables</w:t>
            </w:r>
          </w:p>
        </w:tc>
        <w:tc>
          <w:tcPr>
            <w:tcW w:w="2265" w:type="dxa"/>
          </w:tcPr>
          <w:p w14:paraId="68FC2BF5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2D2F4700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09C386A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Quotidien</w:t>
            </w:r>
          </w:p>
        </w:tc>
      </w:tr>
      <w:tr w:rsidR="000D3638" w14:paraId="4BE552FF" w14:textId="77777777" w:rsidTr="00A37B7D">
        <w:tc>
          <w:tcPr>
            <w:tcW w:w="2265" w:type="dxa"/>
          </w:tcPr>
          <w:p w14:paraId="07B402C0" w14:textId="3C1ADAA5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Gestion des créances (remboursables, reportables ou non)</w:t>
            </w:r>
          </w:p>
        </w:tc>
        <w:tc>
          <w:tcPr>
            <w:tcW w:w="2265" w:type="dxa"/>
          </w:tcPr>
          <w:p w14:paraId="1FDA2A1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0F8D598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3CB020C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4A626891" w14:textId="77777777" w:rsidTr="00A37B7D">
        <w:tc>
          <w:tcPr>
            <w:tcW w:w="2265" w:type="dxa"/>
            <w:shd w:val="clear" w:color="auto" w:fill="E7E6E6"/>
          </w:tcPr>
          <w:p w14:paraId="37ADD408" w14:textId="77777777" w:rsidR="000D3638" w:rsidRDefault="000D3638" w:rsidP="00C74BFC">
            <w:pPr>
              <w:jc w:val="center"/>
              <w:rPr>
                <w:rFonts w:ascii="DIN" w:eastAsia="DIN" w:hAnsi="DIN" w:cs="DIN"/>
                <w:b/>
              </w:rPr>
            </w:pPr>
            <w:r>
              <w:rPr>
                <w:rFonts w:ascii="DIN" w:eastAsia="DIN" w:hAnsi="DIN" w:cs="DIN"/>
                <w:b/>
              </w:rPr>
              <w:t>Fiscal</w:t>
            </w:r>
          </w:p>
        </w:tc>
        <w:tc>
          <w:tcPr>
            <w:tcW w:w="2265" w:type="dxa"/>
            <w:shd w:val="clear" w:color="auto" w:fill="E7E6E6"/>
          </w:tcPr>
          <w:p w14:paraId="22AC171E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  <w:shd w:val="clear" w:color="auto" w:fill="E7E6E6"/>
          </w:tcPr>
          <w:p w14:paraId="3EFF961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  <w:shd w:val="clear" w:color="auto" w:fill="E7E6E6"/>
          </w:tcPr>
          <w:p w14:paraId="6E2CDE8B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</w:tr>
      <w:tr w:rsidR="000D3638" w14:paraId="7B4298BA" w14:textId="77777777" w:rsidTr="00A37B7D">
        <w:tc>
          <w:tcPr>
            <w:tcW w:w="2265" w:type="dxa"/>
          </w:tcPr>
          <w:p w14:paraId="3C525612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lastRenderedPageBreak/>
              <w:t>Déclarations de TVA</w:t>
            </w:r>
          </w:p>
        </w:tc>
        <w:tc>
          <w:tcPr>
            <w:tcW w:w="2265" w:type="dxa"/>
          </w:tcPr>
          <w:p w14:paraId="3DBCD0BF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0FA111EC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313938BE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Mensuel ou trimestriel</w:t>
            </w:r>
          </w:p>
        </w:tc>
      </w:tr>
      <w:tr w:rsidR="000D3638" w14:paraId="3E19303E" w14:textId="77777777" w:rsidTr="00A37B7D">
        <w:tc>
          <w:tcPr>
            <w:tcW w:w="2265" w:type="dxa"/>
          </w:tcPr>
          <w:p w14:paraId="44EA114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Demandes de remboursement de TVA</w:t>
            </w:r>
          </w:p>
        </w:tc>
        <w:tc>
          <w:tcPr>
            <w:tcW w:w="2265" w:type="dxa"/>
          </w:tcPr>
          <w:p w14:paraId="62A4C3DA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65FA68D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529520D3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Mensuel ou trimestriel</w:t>
            </w:r>
          </w:p>
        </w:tc>
      </w:tr>
      <w:tr w:rsidR="000D3638" w14:paraId="12D902FF" w14:textId="77777777" w:rsidTr="00A37B7D">
        <w:tc>
          <w:tcPr>
            <w:tcW w:w="2265" w:type="dxa"/>
          </w:tcPr>
          <w:p w14:paraId="675CA272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Déclarations européennes de services (DES)</w:t>
            </w:r>
          </w:p>
        </w:tc>
        <w:tc>
          <w:tcPr>
            <w:tcW w:w="2265" w:type="dxa"/>
          </w:tcPr>
          <w:p w14:paraId="67D0ED2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5526765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3F96AF89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Si concerné</w:t>
            </w:r>
          </w:p>
        </w:tc>
      </w:tr>
      <w:tr w:rsidR="000D3638" w14:paraId="4E932776" w14:textId="77777777" w:rsidTr="00A37B7D">
        <w:tc>
          <w:tcPr>
            <w:tcW w:w="2265" w:type="dxa"/>
          </w:tcPr>
          <w:p w14:paraId="2A54BD8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Déclarations d’échanges de biens (DEB)</w:t>
            </w:r>
          </w:p>
        </w:tc>
        <w:tc>
          <w:tcPr>
            <w:tcW w:w="2265" w:type="dxa"/>
          </w:tcPr>
          <w:p w14:paraId="0FF7325E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19540995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48004CE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Si concerné</w:t>
            </w:r>
          </w:p>
        </w:tc>
      </w:tr>
      <w:tr w:rsidR="000D3638" w14:paraId="2EF553DF" w14:textId="77777777" w:rsidTr="00A37B7D">
        <w:tc>
          <w:tcPr>
            <w:tcW w:w="2265" w:type="dxa"/>
          </w:tcPr>
          <w:p w14:paraId="7E5DC922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Liasse fiscale de fin d’exercice et télétransmission</w:t>
            </w:r>
          </w:p>
        </w:tc>
        <w:tc>
          <w:tcPr>
            <w:tcW w:w="2265" w:type="dxa"/>
          </w:tcPr>
          <w:p w14:paraId="6EFA1370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0AC893B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4BD7C033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5CBCBC2D" w14:textId="77777777" w:rsidTr="00A37B7D">
        <w:tc>
          <w:tcPr>
            <w:tcW w:w="2265" w:type="dxa"/>
          </w:tcPr>
          <w:p w14:paraId="149F68B5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Télétransmission de la déclaration annuelle</w:t>
            </w:r>
          </w:p>
        </w:tc>
        <w:tc>
          <w:tcPr>
            <w:tcW w:w="2265" w:type="dxa"/>
          </w:tcPr>
          <w:p w14:paraId="4280A14D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5BB8CDA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5BB57E5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15CDE228" w14:textId="77777777" w:rsidTr="00A37B7D">
        <w:tc>
          <w:tcPr>
            <w:tcW w:w="2265" w:type="dxa"/>
          </w:tcPr>
          <w:p w14:paraId="4F8BEBC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Etablissement des bordereaux de paiement de l’impôt sur les sociétés et télétransmissions</w:t>
            </w:r>
          </w:p>
        </w:tc>
        <w:tc>
          <w:tcPr>
            <w:tcW w:w="2265" w:type="dxa"/>
          </w:tcPr>
          <w:p w14:paraId="45E02A0C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43B9ED85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4ED9D50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 la clôture</w:t>
            </w:r>
          </w:p>
        </w:tc>
      </w:tr>
      <w:tr w:rsidR="000D3638" w14:paraId="5CB3CC13" w14:textId="77777777" w:rsidTr="00A37B7D">
        <w:tc>
          <w:tcPr>
            <w:tcW w:w="2265" w:type="dxa"/>
          </w:tcPr>
          <w:p w14:paraId="1669DAFF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Contribution économique territoriale (CFE et CVAE)</w:t>
            </w:r>
          </w:p>
        </w:tc>
        <w:tc>
          <w:tcPr>
            <w:tcW w:w="2265" w:type="dxa"/>
          </w:tcPr>
          <w:p w14:paraId="7603208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7103EE93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3EE47045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Annuel</w:t>
            </w:r>
          </w:p>
        </w:tc>
      </w:tr>
      <w:tr w:rsidR="000D3638" w14:paraId="5DF75926" w14:textId="77777777" w:rsidTr="00A37B7D">
        <w:tc>
          <w:tcPr>
            <w:tcW w:w="2265" w:type="dxa"/>
          </w:tcPr>
          <w:p w14:paraId="78A8D9E7" w14:textId="6D42B5E5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Demande de plafonnement ou d’écrêtement de la CET</w:t>
            </w:r>
          </w:p>
        </w:tc>
        <w:tc>
          <w:tcPr>
            <w:tcW w:w="2265" w:type="dxa"/>
          </w:tcPr>
          <w:p w14:paraId="00BC6D6E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57BEC7D6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4D054365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Si concerné</w:t>
            </w:r>
          </w:p>
        </w:tc>
      </w:tr>
      <w:tr w:rsidR="000D3638" w14:paraId="0114A3C5" w14:textId="77777777" w:rsidTr="00A37B7D">
        <w:tc>
          <w:tcPr>
            <w:tcW w:w="2265" w:type="dxa"/>
          </w:tcPr>
          <w:p w14:paraId="7523F060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DAS2</w:t>
            </w:r>
          </w:p>
        </w:tc>
        <w:tc>
          <w:tcPr>
            <w:tcW w:w="2265" w:type="dxa"/>
          </w:tcPr>
          <w:p w14:paraId="7EC99074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15B79C77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3FFA517B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Annuel</w:t>
            </w:r>
          </w:p>
        </w:tc>
      </w:tr>
      <w:tr w:rsidR="000D3638" w14:paraId="127B4742" w14:textId="77777777" w:rsidTr="00A37B7D">
        <w:tc>
          <w:tcPr>
            <w:tcW w:w="2265" w:type="dxa"/>
          </w:tcPr>
          <w:p w14:paraId="0FDB6601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Accompagnement pour toute obligation fiscale en dehors de celles relatives à la TVA et non citées précédemment</w:t>
            </w:r>
          </w:p>
        </w:tc>
        <w:tc>
          <w:tcPr>
            <w:tcW w:w="2265" w:type="dxa"/>
          </w:tcPr>
          <w:p w14:paraId="6EE4F8FF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X</w:t>
            </w:r>
          </w:p>
        </w:tc>
        <w:tc>
          <w:tcPr>
            <w:tcW w:w="2266" w:type="dxa"/>
          </w:tcPr>
          <w:p w14:paraId="613142A9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</w:p>
        </w:tc>
        <w:tc>
          <w:tcPr>
            <w:tcW w:w="2266" w:type="dxa"/>
          </w:tcPr>
          <w:p w14:paraId="39D744E8" w14:textId="77777777" w:rsidR="000D3638" w:rsidRDefault="000D3638" w:rsidP="00C74BFC">
            <w:pPr>
              <w:jc w:val="center"/>
              <w:rPr>
                <w:rFonts w:ascii="DIN" w:eastAsia="DIN" w:hAnsi="DIN" w:cs="DIN"/>
              </w:rPr>
            </w:pPr>
            <w:r>
              <w:rPr>
                <w:rFonts w:ascii="DIN" w:eastAsia="DIN" w:hAnsi="DIN" w:cs="DIN"/>
              </w:rPr>
              <w:t>Si concerné</w:t>
            </w:r>
          </w:p>
        </w:tc>
      </w:tr>
    </w:tbl>
    <w:p w14:paraId="1E6973B0" w14:textId="77777777" w:rsidR="000D3638" w:rsidRDefault="000D3638" w:rsidP="000D3638">
      <w:pPr>
        <w:rPr>
          <w:color w:val="FF0000"/>
        </w:rPr>
      </w:pPr>
    </w:p>
    <w:p w14:paraId="4E87F011" w14:textId="77777777" w:rsidR="000D3638" w:rsidRDefault="000D3638" w:rsidP="000D3638">
      <w:pPr>
        <w:rPr>
          <w:rFonts w:ascii="DIN" w:eastAsia="DIN" w:hAnsi="DIN" w:cs="DIN"/>
        </w:rPr>
      </w:pPr>
    </w:p>
    <w:p w14:paraId="5011A0CE" w14:textId="77777777" w:rsidR="00DF76BB" w:rsidRPr="009A69C0" w:rsidRDefault="00DF76BB">
      <w:pPr>
        <w:rPr>
          <w:rFonts w:ascii="DIN" w:hAnsi="DIN"/>
          <w:highlight w:val="yellow"/>
        </w:rPr>
      </w:pPr>
    </w:p>
    <w:sectPr w:rsidR="00DF76BB" w:rsidRPr="009A6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charset w:val="00"/>
    <w:family w:val="auto"/>
    <w:pitch w:val="variable"/>
    <w:sig w:usb0="800000A7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06B"/>
    <w:multiLevelType w:val="hybridMultilevel"/>
    <w:tmpl w:val="2E96BE4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5314EE0"/>
    <w:multiLevelType w:val="hybridMultilevel"/>
    <w:tmpl w:val="6C7C3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10F0"/>
    <w:multiLevelType w:val="multilevel"/>
    <w:tmpl w:val="07CA35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F15E2B"/>
    <w:multiLevelType w:val="hybridMultilevel"/>
    <w:tmpl w:val="4E208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B3D41"/>
    <w:multiLevelType w:val="hybridMultilevel"/>
    <w:tmpl w:val="61F8EAE2"/>
    <w:lvl w:ilvl="0" w:tplc="FF04DBF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5641B"/>
    <w:multiLevelType w:val="hybridMultilevel"/>
    <w:tmpl w:val="4976A278"/>
    <w:lvl w:ilvl="0" w:tplc="FF04DBF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14E6"/>
    <w:multiLevelType w:val="hybridMultilevel"/>
    <w:tmpl w:val="C59EC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76B4"/>
    <w:multiLevelType w:val="hybridMultilevel"/>
    <w:tmpl w:val="4052D6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E25B55"/>
    <w:multiLevelType w:val="hybridMultilevel"/>
    <w:tmpl w:val="3DF07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54422"/>
    <w:multiLevelType w:val="hybridMultilevel"/>
    <w:tmpl w:val="269C8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D3E83"/>
    <w:multiLevelType w:val="hybridMultilevel"/>
    <w:tmpl w:val="4E208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85247">
    <w:abstractNumId w:val="6"/>
  </w:num>
  <w:num w:numId="2" w16cid:durableId="1054431310">
    <w:abstractNumId w:val="1"/>
  </w:num>
  <w:num w:numId="3" w16cid:durableId="507401619">
    <w:abstractNumId w:val="10"/>
  </w:num>
  <w:num w:numId="4" w16cid:durableId="1037315171">
    <w:abstractNumId w:val="5"/>
  </w:num>
  <w:num w:numId="5" w16cid:durableId="520974195">
    <w:abstractNumId w:val="4"/>
  </w:num>
  <w:num w:numId="6" w16cid:durableId="1755011992">
    <w:abstractNumId w:val="7"/>
  </w:num>
  <w:num w:numId="7" w16cid:durableId="286085955">
    <w:abstractNumId w:val="9"/>
  </w:num>
  <w:num w:numId="8" w16cid:durableId="1013847019">
    <w:abstractNumId w:val="8"/>
  </w:num>
  <w:num w:numId="9" w16cid:durableId="982007533">
    <w:abstractNumId w:val="0"/>
  </w:num>
  <w:num w:numId="10" w16cid:durableId="1460608107">
    <w:abstractNumId w:val="3"/>
  </w:num>
  <w:num w:numId="11" w16cid:durableId="1204560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33"/>
    <w:rsid w:val="00037D56"/>
    <w:rsid w:val="00042222"/>
    <w:rsid w:val="000D3638"/>
    <w:rsid w:val="001B20C4"/>
    <w:rsid w:val="001D3E0C"/>
    <w:rsid w:val="00200516"/>
    <w:rsid w:val="00401ABA"/>
    <w:rsid w:val="00536CEA"/>
    <w:rsid w:val="005C787F"/>
    <w:rsid w:val="00685185"/>
    <w:rsid w:val="006A4BF6"/>
    <w:rsid w:val="006A5533"/>
    <w:rsid w:val="0082074C"/>
    <w:rsid w:val="00990ACA"/>
    <w:rsid w:val="009A69C0"/>
    <w:rsid w:val="00C0277F"/>
    <w:rsid w:val="00C74BFC"/>
    <w:rsid w:val="00DF76BB"/>
    <w:rsid w:val="00E03B55"/>
    <w:rsid w:val="00ED17B8"/>
    <w:rsid w:val="00F2372D"/>
    <w:rsid w:val="00FC11C0"/>
    <w:rsid w:val="00F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DA45"/>
  <w15:chartTrackingRefBased/>
  <w15:docId w15:val="{08C77F0B-11B6-4879-8208-B15C00F6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5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518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F7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F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Aymeric BOCQUET</cp:lastModifiedBy>
  <cp:revision>3</cp:revision>
  <dcterms:created xsi:type="dcterms:W3CDTF">2020-09-27T19:42:00Z</dcterms:created>
  <dcterms:modified xsi:type="dcterms:W3CDTF">2022-06-16T10:09:00Z</dcterms:modified>
</cp:coreProperties>
</file>