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Arial" w:hAnsi="Arial"/>
          <w:b/>
          <w:i w:val="0"/>
          <w:color w:val="17365D"/>
          <w:sz w:val="46"/>
        </w:rPr>
        <w:t>How VisioALS Personalizes a Response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B6573"/>
          <w:sz w:val="21"/>
        </w:rPr>
        <w:t>High-level architecture: local language processing + semantic retrieval + cloud generation + patient-controlled selection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0" cy="4654296"/>
            <wp:docPr id="1" name="Picture 1" descr="Flowchart of the VisioALS personalized-response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als-personalized-response-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542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4400"/>
        <w:tblLayout w:type="fixed"/>
        <w:tblLook w:firstColumn="1" w:firstRow="1" w:lastColumn="0" w:lastRow="0" w:noHBand="0" w:noVBand="1" w:val="04A0"/>
        <w:tblInd w:w="0" w:type="dxa"/>
      </w:tblPr>
      <w:tblGrid>
        <w:gridCol w:w="14400"/>
      </w:tblGrid>
      <w:tr>
        <w:tc>
          <w:tcPr>
            <w:tcW w:type="dxa" w:w="14400"/>
            <w:shd w:fill="EEF4FA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2E75B6"/>
                <w:sz w:val="20"/>
              </w:rPr>
              <w:t xml:space="preserve">KEY IDEA 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The patient does not train a new language model. VisioALS conditions pretrained models with a style profile, retrieved examples, and learned preference rules.</w:t>
            </w:r>
          </w:p>
        </w:tc>
      </w:tr>
    </w:tbl>
    <w:p>
      <w:pPr>
        <w:spacing w:before="80" w:after="0"/>
        <w:jc w:val="center"/>
      </w:pPr>
      <w:r>
        <w:rPr>
          <w:rFonts w:ascii="Arial" w:hAnsi="Arial"/>
          <w:b/>
          <w:i w:val="0"/>
          <w:color w:val="2E75B6"/>
          <w:sz w:val="15"/>
        </w:rPr>
        <w:t xml:space="preserve">  ■ LOCAL PROCESSING </w:t>
      </w:r>
      <w:r>
        <w:rPr>
          <w:rFonts w:ascii="Arial" w:hAnsi="Arial"/>
          <w:b w:val="0"/>
          <w:i w:val="0"/>
          <w:color w:val="5B6573"/>
          <w:sz w:val="15"/>
        </w:rPr>
        <w:t xml:space="preserve">runs on the device   </w:t>
      </w:r>
      <w:r>
        <w:rPr>
          <w:rFonts w:ascii="Arial" w:hAnsi="Arial"/>
          <w:b/>
          <w:i w:val="0"/>
          <w:color w:val="168C8C"/>
          <w:sz w:val="15"/>
        </w:rPr>
        <w:t xml:space="preserve">  ■ PATIENT DATA </w:t>
      </w:r>
      <w:r>
        <w:rPr>
          <w:rFonts w:ascii="Arial" w:hAnsi="Arial"/>
          <w:b w:val="0"/>
          <w:i w:val="0"/>
          <w:color w:val="5B6573"/>
          <w:sz w:val="15"/>
        </w:rPr>
        <w:t xml:space="preserve">stored personalization assets   </w:t>
      </w:r>
      <w:r>
        <w:rPr>
          <w:rFonts w:ascii="Arial" w:hAnsi="Arial"/>
          <w:b/>
          <w:i w:val="0"/>
          <w:color w:val="6B5CA5"/>
          <w:sz w:val="15"/>
        </w:rPr>
        <w:t xml:space="preserve">  ■ CLOUD AI </w:t>
      </w:r>
      <w:r>
        <w:rPr>
          <w:rFonts w:ascii="Arial" w:hAnsi="Arial"/>
          <w:b w:val="0"/>
          <w:i w:val="0"/>
          <w:color w:val="5B6573"/>
          <w:sz w:val="15"/>
        </w:rPr>
        <w:t xml:space="preserve">LLM or cloned voice service   </w:t>
      </w:r>
      <w:r>
        <w:rPr>
          <w:rFonts w:ascii="Arial" w:hAnsi="Arial"/>
          <w:b/>
          <w:i w:val="0"/>
          <w:color w:val="C28B2C"/>
          <w:sz w:val="15"/>
        </w:rPr>
        <w:t xml:space="preserve">  ■ PATIENT CONTROL </w:t>
      </w:r>
      <w:r>
        <w:rPr>
          <w:rFonts w:ascii="Arial" w:hAnsi="Arial"/>
          <w:b w:val="0"/>
          <w:i w:val="0"/>
          <w:color w:val="5B6573"/>
          <w:sz w:val="15"/>
        </w:rPr>
        <w:t xml:space="preserve">human question, choice, or output   </w:t>
      </w:r>
    </w:p>
    <w:sectPr w:rsidR="00FC693F" w:rsidRPr="0006063C" w:rsidSect="00034616">
      <w:footerReference w:type="default" r:id="rId10"/>
      <w:pgSz w:w="15840" w:h="12240" w:orient="landscape"/>
      <w:pgMar w:top="605" w:right="720" w:bottom="576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5B6573"/>
        <w:sz w:val="16"/>
      </w:rPr>
      <w:t>VisioALS · Personalized Response Pipeline ·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VisioALS Personalizes a Response</dc:title>
  <dc:subject>High-level flowchart of the VisioALS personalized-response pipeline</dc:subject>
  <dc:creator>VisioALS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