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RBAC Automation Stack</w:t>
      </w:r>
    </w:p>
    <w:p>
      <w:pPr>
        <w:pBdr>
          <w:bottom w:val="single" w:color="2E75B6" w:sz="8" w:space="4"/>
        </w:pBdr>
        <w:spacing w:before="0" w:after="20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Diagram Legend and Reference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OpenShift Platform Team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IS-20938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Diagrams covered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 Architecture  |  Implementation Detail</w:t>
            </w:r>
          </w:p>
        </w:tc>
      </w:tr>
    </w:tbl>
    <w:p>
      <w:pPr>
        <w:spacing w:before="2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About These Diagrams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diagrams document the OpenShift RBAC automation stack. They serve different audiences and different purposes — read together, they give a complete picture of how the system is designed and how it works in practice.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 Architecture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Conceptual design — what the system is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Leadership, architects, new team members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Presenting, onboarding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Implementation Detail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 detail — how the system works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engineers, auditors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Troubleshooting, compliance evidence</w:t>
            </w:r>
          </w:p>
        </w:tc>
      </w:tr>
    </w:tbl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Color Legend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diagrams use the same color coding. Color encodes the role each component plays in the pipeline — not sequence.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Blue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OIM Identity Self Service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Sync Operator, NamespaceConfig, GroupConfig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Namespace groups, Cluster groups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Namespace labels (pnc.net/mnemonic, pnc.net/app-environment)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Coral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RoleBindings, ClusterRoleBindings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 and groups on OCP</w:t>
            </w:r>
          </w:p>
        </w:tc>
      </w:tr>
    </w:tbl>
    <w:p>
      <w:pPr>
        <w:spacing w:before="16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Arrow and Line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Solid arrow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flow — data or action moves between components with no manual intervention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Dashed vertical line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 separator — divides the Namespace Path (left) from the Cluster Path (right)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Labeled arrow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Arrow label describes what the automation does at that step (e.g. LDAP sync, auto-generates)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Merge lines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 paths converging — both outputs feed into a single downstream component</w:t>
            </w:r>
          </w:p>
        </w:tc>
      </w:tr>
    </w:tbl>
    <w:p>
      <w:pPr>
        <w:pBdr>
          <w:bottom w:val="single" w:color="2E75B6" w:sz="4" w:space="1"/>
        </w:pBdr>
        <w:spacing w:before="140" w:after="1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Diagram 1 — Reference Architecture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conceptual view of the system with two clearly separated automation paths. No naming patterns, no policy names, no role assignments — the goal is to convey how the system is structured and how data flows through it.</w:t>
      </w:r>
    </w:p>
    <w:p>
      <w:pPr>
        <w:spacing w:before="12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51435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Design Decisions Visible in This Diagram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OIM as the single source of truth.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Every component downstream of OIM is automated. The only human actions in the pipeline are submitting the OIM entitlement request and approving access requests from developers. Everything else is automatic.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split into two paths.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Group Sync Operator produces two categories of group. These flow into two separate automation paths — one for namespace-scoped access, one for cluster-wide access. The paths are independent and use different policy types.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Namespace labels as a trigger.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namespace path requires both a group AND a namespace label to fire. The Namespace Labels component (amber) sits between the groups and the NamespaceConfig policy — it is a required co-trigger, not just metadata.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Both paths converge at the user.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Users and groups on OCP is the end state of both paths. Access granted through either path becomes active after the OIM approval and the next Group Sync cycle.</w:t>
      </w:r>
    </w:p>
    <w:p>
      <w:pPr>
        <w:pBdr>
          <w:bottom w:val="single" w:color="2E75B6" w:sz="4" w:space="1"/>
        </w:pBdr>
        <w:spacing w:before="140" w:after="1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Diagram 2 — Implementation Detail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same pipeline with all technical specifics: naming conventions, policy names, role assignments, the prod restriction, and the Jenkins label automation. This is the working reference for anyone implementing, troubleshooting, or auditing the system.</w:t>
      </w:r>
    </w:p>
    <w:p>
      <w:pPr>
        <w:spacing w:before="12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51435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Technical Details Added Over Reference Architecture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Naming patterns in group boxes.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teal group boxes show the actual naming convention: app-ocp-rbac-{m}-ns-{role} (namespace path) and app-ocp-rbac-{m}-cluster-{role} (cluster path). Replace {m} with the 3-letter mnemonic and {role} with admin, developer, or audit.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Namespace label source.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amber label box carries a note: Applied by Jenkins onboarding pipeline. Labels are not set manually by mnemonic owners — they are applied automatically when a namespace is created through the standard onboarding process.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Policy names in operator boxes.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purple policy boxes show the actual resource names: nonprod + prod namespaceconfig-rbac (namespace path) and cluster-*-groupconfig-rbac (cluster path).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Pattern filtering note.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arrow from Cluster Groups to GroupConfig is labeled pattern match / -cluster- filter. The GroupConfig uses a template conditional to match only groups containing -cluster- in their name, preventing namespace-level groups from incorrectly receiving ClusterRoleBindings.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Role assignments in RBAC binding boxes.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coral binding boxes show the specific role each binding grants.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{m}-admin-rb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namespace admin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{m}-developer-rb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and manage workloads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{m}-audit-rb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{m}-cluster-admin-crb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cluster-wide admin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{m}-cluster-developer-crb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Cluster-wide developer access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{m}-cluster-audit-crb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Cluster-wide read-only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Production restriction note.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Below the RoleBindings box: Prod: developer + audit only — no admin. Enforced by a separate prod-namespaceconfig-rbac policy that does not generate the admin binding when pnc.net/app-environment=prod.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Users box detail.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green Users box reads: OIM approval → access active on next sync. Mnemonic owner approves in OIM → user added to LDAP group → Group Sync Operator runs → user is in the OpenShift group → existing RoleBinding grants access.</w:t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Two Paths — Technical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 Path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Path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pnc.net/mnemonic + pnc.net/app-environment namespace labels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name pattern: app-ocp-rbac-{m}-cluster-{role}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Policy type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NamespaceConfig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GroupConfig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Policy names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nonprod-namespaceconfig-rbac, prod-namespaceconfig-rbac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cluster-admin/developer/audit-groupconfig-rbac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 object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RoleBinding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ClusterRoleBinding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 scope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namespace only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namespaces in cluster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Roles generated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(nonprod only), edit, view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admin, edit, view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 restriction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admin binding in prod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 developers and auditors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team (ocp mnemonic)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 applied by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Jenkins onboarding pipeline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 — triggered by group name pattern</w:t>
            </w:r>
          </w:p>
        </w:tc>
      </w:tr>
    </w:tbl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Automation Guarantee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RBAC object produced by this pipeline carries operator-stamped metadata. These annotations and labels are embedded at creation time and cannot be replicated by a manually created binding — they are the audit proof that the object was auto-generated.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app.kubernetes.io/managed-by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namespace-configuration-operator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owns and reconciles this object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rbac.ocp.io/created-by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namespace-configuration-operator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manually created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rbac.ocp.io/mnemonic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{mnemonic}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Traceable to a specific application team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rbac.ocp.io/environment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{environment}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policy branch was applied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rbac.ocp.io/source-namespaceconfig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nonprod/prod-namespaceconfig-rbac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Exact policy that drove generation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rbac.ocp.io/group-pattern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app-ocp-rbac-{m}-ns-{role}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name resolved from mnemonic pattern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rbac.ocp.io/environment-restriction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nonprod-only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Environment-aware policy fired correctly</w:t>
            </w:r>
          </w:p>
        </w:tc>
      </w:tr>
    </w:tbl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Milestone 1.2 Completion Summary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cluster validation proving both paths work, with deep annotation analysis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OpenShift Namespace Naming Conventions and Mnemonic Req.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Mnemonic rules, namespace naming format, and label requirements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Requesting Access to OpenShift Namespaces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OIM entitlement onboarding guide for mnemonic owners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OpenShift Namespace Access — Getting Started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landing page — routing table for all personas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777777"/>
        <w:sz w:val="16"/>
        <w:szCs w:val="16"/>
      </w:rPr>
      <w:t xml:space="preserve">CONFIDENTIAL  |  IS-20938  |  March 2026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80"/>
    </w:pPr>
    <w:r>
      <w:rPr>
        <w:rFonts w:ascii="Arial" w:cs="Arial" w:eastAsia="Arial" w:hAnsi="Arial"/>
        <w:color w:val="555555"/>
        <w:sz w:val="18"/>
        <w:szCs w:val="18"/>
      </w:rPr>
      <w:t xml:space="preserve">OpenShift Platform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RBAC Automation Stack — Diagram Legend and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74fd5d2529f4fb96a7033bfe2062009af05c4b0.png"/><Relationship Id="rId9" Type="http://schemas.openxmlformats.org/officeDocument/2006/relationships/image" Target="media/7767aa8fc547a42f364f5cf4bc2e216b5da8f55a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2026-03-27T18:43:32.097Z</dcterms:created>
  <dcterms:modified xsi:type="dcterms:W3CDTF">2026-03-27T18:43:32.098Z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