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 w:after="20"/>
        <w:jc w:val="center"/>
      </w:pPr>
      <w:r>
        <w:rPr>
          <w:rFonts w:ascii="Aptos Display" w:hAnsi="Aptos Display"/>
          <w:b/>
          <w:color w:val="16324F"/>
          <w:sz w:val="30"/>
        </w:rPr>
        <w:t>UNIVERSITÉ JOSEPH KI-ZERBO</w:t>
      </w:r>
    </w:p>
    <w:p>
      <w:pPr>
        <w:spacing w:after="40"/>
        <w:jc w:val="center"/>
      </w:pPr>
      <w:r>
        <w:rPr>
          <w:b/>
          <w:color w:val="079E89"/>
          <w:sz w:val="20"/>
        </w:rPr>
        <w:t>INSTITUT BURKINABÈ DES ARTS ET MÉTIERS · IBAM</w:t>
      </w:r>
    </w:p>
    <w:tbl>
      <w:tblPr>
        <w:tblW w:type="auto" w:w="0"/>
        <w:tblLayout w:type="fixed"/>
        <w:tblLook w:firstColumn="1" w:firstRow="1" w:lastColumn="0" w:lastRow="0" w:noHBand="0" w:noVBand="1" w:val="04A0"/>
      </w:tblPr>
      <w:tblGrid>
        <w:gridCol w:w="2880"/>
        <w:gridCol w:w="2880"/>
      </w:tblGrid>
      <w:tr>
        <w:tc>
          <w:tcPr>
            <w:tcW w:type="dxa" w:w="4820"/>
            <w:vAlign w:val="center"/>
          </w:tcPr>
          <w:p>
            <w:pPr>
              <w:spacing w:after="60"/>
              <w:jc w:val="center"/>
            </w:pPr>
            <w:r>
              <w:rPr>
                <w:b/>
                <w:color w:val="16324F"/>
                <w:sz w:val="34"/>
              </w:rPr>
              <w:t>IBAM</w:t>
            </w:r>
          </w:p>
          <w:p>
            <w:pPr>
              <w:spacing w:after="0"/>
              <w:jc w:val="center"/>
            </w:pPr>
            <w:r>
              <w:rPr>
                <w:i/>
                <w:color w:val="66758A"/>
                <w:sz w:val="16"/>
              </w:rPr>
              <w:t>Insérer le logo officiel</w:t>
            </w:r>
          </w:p>
        </w:tc>
        <w:tc>
          <w:tcPr>
            <w:tcW w:type="dxa" w:w="4820"/>
            <w:vAlign w:val="center"/>
          </w:tcPr>
          <w:p>
            <w:pPr>
              <w:spacing w:after="60"/>
              <w:jc w:val="center"/>
            </w:pPr>
            <w:r>
              <w:rPr>
                <w:b/>
                <w:color w:val="16324F"/>
                <w:sz w:val="34"/>
              </w:rPr>
              <w:t>UJKZ</w:t>
            </w:r>
          </w:p>
          <w:p>
            <w:pPr>
              <w:spacing w:after="0"/>
              <w:jc w:val="center"/>
            </w:pPr>
            <w:r>
              <w:rPr>
                <w:i/>
                <w:color w:val="66758A"/>
                <w:sz w:val="16"/>
              </w:rPr>
              <w:t>Insérer le logo officiel</w:t>
            </w:r>
          </w:p>
        </w:tc>
      </w:tr>
    </w:tbl>
    <w:p>
      <w:pPr>
        <w:spacing w:before="100" w:after="40"/>
        <w:jc w:val="center"/>
      </w:pPr>
      <w:r>
        <w:rPr>
          <w:rFonts w:ascii="Aptos Display" w:hAnsi="Aptos Display"/>
          <w:b/>
          <w:color w:val="16324F"/>
          <w:sz w:val="48"/>
        </w:rPr>
        <w:t>DOSSIER D’ARCHITECTURE</w:t>
      </w:r>
    </w:p>
    <w:p>
      <w:pPr>
        <w:spacing w:after="100"/>
        <w:jc w:val="center"/>
      </w:pPr>
      <w:r>
        <w:rPr>
          <w:rFonts w:ascii="Aptos" w:hAnsi="Aptos"/>
          <w:color w:val="53657A"/>
          <w:sz w:val="22"/>
        </w:rPr>
        <w:t>Capacité cible : quatre serveurs applicatifs · Exécution mesurée : deux, selon les ressources disponibles</w:t>
      </w:r>
    </w:p>
    <w:p>
      <w:pPr>
        <w:spacing w:after="60"/>
        <w:jc w:val="center"/>
      </w:pPr>
      <w:r>
        <w:rPr>
          <w:b/>
          <w:color w:val="175CD3"/>
          <w:sz w:val="24"/>
        </w:rPr>
        <w:t>PROJET DE GROUPE 18  ·  4 MEMBRES</w:t>
      </w:r>
    </w:p>
    <w:p>
      <w:pPr>
        <w:spacing w:after="20"/>
        <w:jc w:val="center"/>
      </w:pPr>
      <w:r>
        <w:rPr>
          <w:sz w:val="18"/>
        </w:rPr>
        <w:t>Master 1 Informatique  ·  Virtualisation et Cloud Computing</w:t>
      </w:r>
    </w:p>
    <w:p>
      <w:pPr>
        <w:spacing w:after="100"/>
        <w:jc w:val="center"/>
      </w:pPr>
      <w:r>
        <w:rPr>
          <w:sz w:val="18"/>
        </w:rPr>
        <w:t>Année universitaire 2026–2027  ·  Enseignant : Dr SOMDA Flavien Hervé</w:t>
      </w:r>
    </w:p>
    <w:p>
      <w:pPr>
        <w:spacing w:after="60"/>
      </w:pPr>
      <w:r>
        <w:rPr>
          <w:b/>
          <w:color w:val="16324F"/>
          <w:sz w:val="20"/>
        </w:rPr>
        <w:t>ÉQUIPE DU PROJET</w:t>
      </w:r>
    </w:p>
    <w:tbl>
      <w:tblPr>
        <w:tblStyle w:val="TableGrid"/>
        <w:tblW w:type="auto" w:w="0"/>
        <w:tblLook w:firstColumn="1" w:firstRow="1" w:lastColumn="0" w:lastRow="0" w:noHBand="0" w:noVBand="1" w:val="04A0"/>
      </w:tblPr>
      <w:tblGrid>
        <w:gridCol w:w="2410"/>
        <w:gridCol w:w="2410"/>
        <w:gridCol w:w="2410"/>
        <w:gridCol w:w="2410"/>
      </w:tblGrid>
      <w:tr>
        <w:trPr>
          <w:tblHeader w:val="true"/>
        </w:trPr>
        <w:tc>
          <w:tcPr>
            <w:tcW w:type="dxa" w:w="1469"/>
            <w:vAlign w:val="center"/>
            <w:tcMar>
              <w:top w:w="100" w:type="dxa"/>
              <w:start w:w="110" w:type="dxa"/>
              <w:bottom w:w="100" w:type="dxa"/>
              <w:end w:w="110" w:type="dxa"/>
            </w:tcMar>
            <w:shd w:fill="16324F"/>
          </w:tcPr>
          <w:p>
            <w:pPr>
              <w:spacing w:after="0"/>
              <w:jc w:val="center"/>
            </w:pPr>
            <w:r/>
            <w:r>
              <w:rPr>
                <w:rFonts w:ascii="Aptos" w:hAnsi="Aptos"/>
                <w:b/>
                <w:color w:val="FFFFFF"/>
                <w:sz w:val="16"/>
              </w:rPr>
              <w:t>Nom</w:t>
            </w:r>
          </w:p>
        </w:tc>
        <w:tc>
          <w:tcPr>
            <w:tcW w:type="dxa" w:w="4752"/>
            <w:vAlign w:val="center"/>
            <w:tcMar>
              <w:top w:w="100" w:type="dxa"/>
              <w:start w:w="110" w:type="dxa"/>
              <w:bottom w:w="100" w:type="dxa"/>
              <w:end w:w="110" w:type="dxa"/>
            </w:tcMar>
            <w:shd w:fill="16324F"/>
          </w:tcPr>
          <w:p>
            <w:pPr>
              <w:spacing w:after="0"/>
              <w:jc w:val="center"/>
            </w:pPr>
            <w:r/>
            <w:r>
              <w:rPr>
                <w:rFonts w:ascii="Aptos" w:hAnsi="Aptos"/>
                <w:b/>
                <w:color w:val="FFFFFF"/>
                <w:sz w:val="16"/>
              </w:rPr>
              <w:t>Prénom</w:t>
            </w:r>
          </w:p>
        </w:tc>
        <w:tc>
          <w:tcPr>
            <w:tcW w:type="dxa" w:w="1339"/>
            <w:vAlign w:val="center"/>
            <w:tcMar>
              <w:top w:w="100" w:type="dxa"/>
              <w:start w:w="110" w:type="dxa"/>
              <w:bottom w:w="100" w:type="dxa"/>
              <w:end w:w="110" w:type="dxa"/>
            </w:tcMar>
            <w:shd w:fill="16324F"/>
          </w:tcPr>
          <w:p>
            <w:pPr>
              <w:spacing w:after="0"/>
              <w:jc w:val="center"/>
            </w:pPr>
            <w:r/>
            <w:r>
              <w:rPr>
                <w:rFonts w:ascii="Aptos" w:hAnsi="Aptos"/>
                <w:b/>
                <w:color w:val="FFFFFF"/>
                <w:sz w:val="16"/>
              </w:rPr>
              <w:t>Numéro</w:t>
            </w:r>
          </w:p>
        </w:tc>
        <w:tc>
          <w:tcPr>
            <w:tcW w:type="dxa" w:w="936"/>
            <w:vAlign w:val="center"/>
            <w:tcMar>
              <w:top w:w="100" w:type="dxa"/>
              <w:start w:w="110" w:type="dxa"/>
              <w:bottom w:w="100" w:type="dxa"/>
              <w:end w:w="110" w:type="dxa"/>
            </w:tcMar>
            <w:shd w:fill="16324F"/>
          </w:tcPr>
          <w:p>
            <w:pPr>
              <w:spacing w:after="0"/>
              <w:jc w:val="center"/>
            </w:pPr>
            <w:r/>
            <w:r>
              <w:rPr>
                <w:rFonts w:ascii="Aptos" w:hAnsi="Aptos"/>
                <w:b/>
                <w:color w:val="FFFFFF"/>
                <w:sz w:val="16"/>
              </w:rPr>
              <w:t>Filière</w:t>
            </w:r>
          </w:p>
        </w:tc>
      </w:tr>
      <w:tr>
        <w:tc>
          <w:tcPr>
            <w:tcW w:type="dxa" w:w="1469"/>
            <w:vAlign w:val="center"/>
            <w:tcMar>
              <w:top w:w="100" w:type="dxa"/>
              <w:start w:w="110" w:type="dxa"/>
              <w:bottom w:w="100" w:type="dxa"/>
              <w:end w:w="110" w:type="dxa"/>
            </w:tcMar>
            <w:shd w:fill="F2F5F9"/>
          </w:tcPr>
          <w:p>
            <w:pPr>
              <w:spacing w:after="0"/>
              <w:jc w:val="left"/>
            </w:pPr>
            <w:r/>
            <w:r>
              <w:rPr>
                <w:rFonts w:ascii="Aptos" w:hAnsi="Aptos"/>
                <w:b w:val="0"/>
                <w:color w:val="263448"/>
                <w:sz w:val="15"/>
              </w:rPr>
              <w:t>BARRY</w:t>
            </w:r>
          </w:p>
        </w:tc>
        <w:tc>
          <w:tcPr>
            <w:tcW w:type="dxa" w:w="4752"/>
            <w:vAlign w:val="center"/>
            <w:tcMar>
              <w:top w:w="100" w:type="dxa"/>
              <w:start w:w="110" w:type="dxa"/>
              <w:bottom w:w="100" w:type="dxa"/>
              <w:end w:w="110" w:type="dxa"/>
            </w:tcMar>
            <w:shd w:fill="F2F5F9"/>
          </w:tcPr>
          <w:p>
            <w:pPr>
              <w:spacing w:after="0"/>
              <w:jc w:val="left"/>
            </w:pPr>
            <w:r/>
            <w:r>
              <w:rPr>
                <w:rFonts w:ascii="Aptos" w:hAnsi="Aptos"/>
                <w:b w:val="0"/>
                <w:color w:val="263448"/>
                <w:sz w:val="15"/>
              </w:rPr>
              <w:t>El Nour</w:t>
            </w:r>
          </w:p>
        </w:tc>
        <w:tc>
          <w:tcPr>
            <w:tcW w:type="dxa" w:w="1339"/>
            <w:vAlign w:val="center"/>
            <w:tcMar>
              <w:top w:w="100" w:type="dxa"/>
              <w:start w:w="110" w:type="dxa"/>
              <w:bottom w:w="100" w:type="dxa"/>
              <w:end w:w="110" w:type="dxa"/>
            </w:tcMar>
            <w:shd w:fill="F2F5F9"/>
          </w:tcPr>
          <w:p>
            <w:pPr>
              <w:spacing w:after="0"/>
              <w:jc w:val="center"/>
            </w:pPr>
            <w:r/>
            <w:r>
              <w:rPr>
                <w:rFonts w:ascii="Aptos" w:hAnsi="Aptos"/>
                <w:b w:val="0"/>
                <w:color w:val="263448"/>
                <w:sz w:val="15"/>
              </w:rPr>
              <w:t>66806583</w:t>
            </w:r>
          </w:p>
        </w:tc>
        <w:tc>
          <w:tcPr>
            <w:tcW w:type="dxa" w:w="936"/>
            <w:vAlign w:val="center"/>
            <w:tcMar>
              <w:top w:w="100" w:type="dxa"/>
              <w:start w:w="110" w:type="dxa"/>
              <w:bottom w:w="100" w:type="dxa"/>
              <w:end w:w="110" w:type="dxa"/>
            </w:tcMar>
            <w:shd w:fill="F2F5F9"/>
          </w:tcPr>
          <w:p>
            <w:pPr>
              <w:spacing w:after="0"/>
              <w:jc w:val="center"/>
            </w:pPr>
            <w:r/>
            <w:r>
              <w:rPr>
                <w:rFonts w:ascii="Aptos" w:hAnsi="Aptos"/>
                <w:b w:val="0"/>
                <w:color w:val="263448"/>
                <w:sz w:val="15"/>
              </w:rPr>
              <w:t>SI</w:t>
            </w:r>
          </w:p>
        </w:tc>
      </w:tr>
      <w:tr>
        <w:tc>
          <w:tcPr>
            <w:tcW w:type="dxa" w:w="1469"/>
            <w:vAlign w:val="center"/>
            <w:tcMar>
              <w:top w:w="100" w:type="dxa"/>
              <w:start w:w="110" w:type="dxa"/>
              <w:bottom w:w="100" w:type="dxa"/>
              <w:end w:w="110" w:type="dxa"/>
            </w:tcMar>
            <w:shd w:fill="FFFFFF"/>
          </w:tcPr>
          <w:p>
            <w:pPr>
              <w:spacing w:after="0"/>
              <w:jc w:val="left"/>
            </w:pPr>
            <w:r/>
            <w:r>
              <w:rPr>
                <w:rFonts w:ascii="Aptos" w:hAnsi="Aptos"/>
                <w:b w:val="0"/>
                <w:color w:val="263448"/>
                <w:sz w:val="15"/>
              </w:rPr>
              <w:t>BAMBARA</w:t>
            </w:r>
          </w:p>
        </w:tc>
        <w:tc>
          <w:tcPr>
            <w:tcW w:type="dxa" w:w="4752"/>
            <w:vAlign w:val="center"/>
            <w:tcMar>
              <w:top w:w="100" w:type="dxa"/>
              <w:start w:w="110" w:type="dxa"/>
              <w:bottom w:w="100" w:type="dxa"/>
              <w:end w:w="110" w:type="dxa"/>
            </w:tcMar>
            <w:shd w:fill="FFFFFF"/>
          </w:tcPr>
          <w:p>
            <w:pPr>
              <w:spacing w:after="0"/>
              <w:jc w:val="left"/>
            </w:pPr>
            <w:r/>
            <w:r>
              <w:rPr>
                <w:rFonts w:ascii="Aptos" w:hAnsi="Aptos"/>
                <w:b w:val="0"/>
                <w:color w:val="263448"/>
                <w:sz w:val="15"/>
              </w:rPr>
              <w:t>Mireille Epiphanie Joëlle Guerla</w:t>
            </w:r>
          </w:p>
        </w:tc>
        <w:tc>
          <w:tcPr>
            <w:tcW w:type="dxa" w:w="1339"/>
            <w:vAlign w:val="center"/>
            <w:tcMar>
              <w:top w:w="100" w:type="dxa"/>
              <w:start w:w="110" w:type="dxa"/>
              <w:bottom w:w="100" w:type="dxa"/>
              <w:end w:w="110" w:type="dxa"/>
            </w:tcMar>
            <w:shd w:fill="FFFFFF"/>
          </w:tcPr>
          <w:p>
            <w:pPr>
              <w:spacing w:after="0"/>
              <w:jc w:val="center"/>
            </w:pPr>
            <w:r/>
            <w:r>
              <w:rPr>
                <w:rFonts w:ascii="Aptos" w:hAnsi="Aptos"/>
                <w:b w:val="0"/>
                <w:color w:val="263448"/>
                <w:sz w:val="15"/>
              </w:rPr>
              <w:t>6539632</w:t>
            </w:r>
          </w:p>
        </w:tc>
        <w:tc>
          <w:tcPr>
            <w:tcW w:type="dxa" w:w="936"/>
            <w:vAlign w:val="center"/>
            <w:tcMar>
              <w:top w:w="100" w:type="dxa"/>
              <w:start w:w="110" w:type="dxa"/>
              <w:bottom w:w="100" w:type="dxa"/>
              <w:end w:w="110" w:type="dxa"/>
            </w:tcMar>
            <w:shd w:fill="FFFFFF"/>
          </w:tcPr>
          <w:p>
            <w:pPr>
              <w:spacing w:after="0"/>
              <w:jc w:val="center"/>
            </w:pPr>
            <w:r/>
            <w:r>
              <w:rPr>
                <w:rFonts w:ascii="Aptos" w:hAnsi="Aptos"/>
                <w:b w:val="0"/>
                <w:color w:val="263448"/>
                <w:sz w:val="15"/>
              </w:rPr>
              <w:t>SIE</w:t>
            </w:r>
          </w:p>
        </w:tc>
      </w:tr>
      <w:tr>
        <w:tc>
          <w:tcPr>
            <w:tcW w:type="dxa" w:w="1469"/>
            <w:vAlign w:val="center"/>
            <w:tcMar>
              <w:top w:w="100" w:type="dxa"/>
              <w:start w:w="110" w:type="dxa"/>
              <w:bottom w:w="100" w:type="dxa"/>
              <w:end w:w="110" w:type="dxa"/>
            </w:tcMar>
            <w:shd w:fill="F2F5F9"/>
          </w:tcPr>
          <w:p>
            <w:pPr>
              <w:spacing w:after="0"/>
              <w:jc w:val="left"/>
            </w:pPr>
            <w:r/>
            <w:r>
              <w:rPr>
                <w:rFonts w:ascii="Aptos" w:hAnsi="Aptos"/>
                <w:b w:val="0"/>
                <w:color w:val="263448"/>
                <w:sz w:val="15"/>
              </w:rPr>
              <w:t>SAWADOGO</w:t>
            </w:r>
          </w:p>
        </w:tc>
        <w:tc>
          <w:tcPr>
            <w:tcW w:type="dxa" w:w="4752"/>
            <w:vAlign w:val="center"/>
            <w:tcMar>
              <w:top w:w="100" w:type="dxa"/>
              <w:start w:w="110" w:type="dxa"/>
              <w:bottom w:w="100" w:type="dxa"/>
              <w:end w:w="110" w:type="dxa"/>
            </w:tcMar>
            <w:shd w:fill="F2F5F9"/>
          </w:tcPr>
          <w:p>
            <w:pPr>
              <w:spacing w:after="0"/>
              <w:jc w:val="left"/>
            </w:pPr>
            <w:r/>
            <w:r>
              <w:rPr>
                <w:rFonts w:ascii="Aptos" w:hAnsi="Aptos"/>
                <w:b w:val="0"/>
                <w:color w:val="263448"/>
                <w:sz w:val="15"/>
              </w:rPr>
              <w:t>Wenden Kogondé Aimé Ephraïm</w:t>
            </w:r>
          </w:p>
        </w:tc>
        <w:tc>
          <w:tcPr>
            <w:tcW w:type="dxa" w:w="1339"/>
            <w:vAlign w:val="center"/>
            <w:tcMar>
              <w:top w:w="100" w:type="dxa"/>
              <w:start w:w="110" w:type="dxa"/>
              <w:bottom w:w="100" w:type="dxa"/>
              <w:end w:w="110" w:type="dxa"/>
            </w:tcMar>
            <w:shd w:fill="F2F5F9"/>
          </w:tcPr>
          <w:p>
            <w:pPr>
              <w:spacing w:after="0"/>
              <w:jc w:val="center"/>
            </w:pPr>
            <w:r/>
            <w:r>
              <w:rPr>
                <w:rFonts w:ascii="Aptos" w:hAnsi="Aptos"/>
                <w:b w:val="0"/>
                <w:color w:val="263448"/>
                <w:sz w:val="15"/>
              </w:rPr>
              <w:t>72620579</w:t>
            </w:r>
          </w:p>
        </w:tc>
        <w:tc>
          <w:tcPr>
            <w:tcW w:type="dxa" w:w="936"/>
            <w:vAlign w:val="center"/>
            <w:tcMar>
              <w:top w:w="100" w:type="dxa"/>
              <w:start w:w="110" w:type="dxa"/>
              <w:bottom w:w="100" w:type="dxa"/>
              <w:end w:w="110" w:type="dxa"/>
            </w:tcMar>
            <w:shd w:fill="F2F5F9"/>
          </w:tcPr>
          <w:p>
            <w:pPr>
              <w:spacing w:after="0"/>
              <w:jc w:val="center"/>
            </w:pPr>
            <w:r/>
            <w:r>
              <w:rPr>
                <w:rFonts w:ascii="Aptos" w:hAnsi="Aptos"/>
                <w:b w:val="0"/>
                <w:color w:val="263448"/>
                <w:sz w:val="15"/>
              </w:rPr>
              <w:t>SI</w:t>
            </w:r>
          </w:p>
        </w:tc>
      </w:tr>
      <w:tr>
        <w:tc>
          <w:tcPr>
            <w:tcW w:type="dxa" w:w="1469"/>
            <w:vAlign w:val="center"/>
            <w:tcMar>
              <w:top w:w="100" w:type="dxa"/>
              <w:start w:w="110" w:type="dxa"/>
              <w:bottom w:w="100" w:type="dxa"/>
              <w:end w:w="110" w:type="dxa"/>
            </w:tcMar>
            <w:shd w:fill="FFFFFF"/>
          </w:tcPr>
          <w:p>
            <w:pPr>
              <w:spacing w:after="0"/>
              <w:jc w:val="left"/>
            </w:pPr>
            <w:r/>
            <w:r>
              <w:rPr>
                <w:rFonts w:ascii="Aptos" w:hAnsi="Aptos"/>
                <w:b w:val="0"/>
                <w:color w:val="263448"/>
                <w:sz w:val="15"/>
              </w:rPr>
              <w:t>WEDRAOGO</w:t>
            </w:r>
          </w:p>
        </w:tc>
        <w:tc>
          <w:tcPr>
            <w:tcW w:type="dxa" w:w="4752"/>
            <w:vAlign w:val="center"/>
            <w:tcMar>
              <w:top w:w="100" w:type="dxa"/>
              <w:start w:w="110" w:type="dxa"/>
              <w:bottom w:w="100" w:type="dxa"/>
              <w:end w:w="110" w:type="dxa"/>
            </w:tcMar>
            <w:shd w:fill="FFFFFF"/>
          </w:tcPr>
          <w:p>
            <w:pPr>
              <w:spacing w:after="0"/>
              <w:jc w:val="left"/>
            </w:pPr>
            <w:r/>
            <w:r>
              <w:rPr>
                <w:rFonts w:ascii="Aptos" w:hAnsi="Aptos"/>
                <w:b w:val="0"/>
                <w:color w:val="263448"/>
                <w:sz w:val="15"/>
              </w:rPr>
              <w:t>Relwende Diane Micheline</w:t>
            </w:r>
          </w:p>
        </w:tc>
        <w:tc>
          <w:tcPr>
            <w:tcW w:type="dxa" w:w="1339"/>
            <w:vAlign w:val="center"/>
            <w:tcMar>
              <w:top w:w="100" w:type="dxa"/>
              <w:start w:w="110" w:type="dxa"/>
              <w:bottom w:w="100" w:type="dxa"/>
              <w:end w:w="110" w:type="dxa"/>
            </w:tcMar>
            <w:shd w:fill="FFFFFF"/>
          </w:tcPr>
          <w:p>
            <w:pPr>
              <w:spacing w:after="0"/>
              <w:jc w:val="center"/>
            </w:pPr>
            <w:r/>
            <w:r>
              <w:rPr>
                <w:rFonts w:ascii="Aptos" w:hAnsi="Aptos"/>
                <w:b w:val="0"/>
                <w:color w:val="263448"/>
                <w:sz w:val="15"/>
              </w:rPr>
              <w:t>76677438</w:t>
            </w:r>
          </w:p>
        </w:tc>
        <w:tc>
          <w:tcPr>
            <w:tcW w:type="dxa" w:w="936"/>
            <w:vAlign w:val="center"/>
            <w:tcMar>
              <w:top w:w="100" w:type="dxa"/>
              <w:start w:w="110" w:type="dxa"/>
              <w:bottom w:w="100" w:type="dxa"/>
              <w:end w:w="110" w:type="dxa"/>
            </w:tcMar>
            <w:shd w:fill="FFFFFF"/>
          </w:tcPr>
          <w:p>
            <w:pPr>
              <w:spacing w:after="0"/>
              <w:jc w:val="center"/>
            </w:pPr>
            <w:r/>
            <w:r>
              <w:rPr>
                <w:rFonts w:ascii="Aptos" w:hAnsi="Aptos"/>
                <w:b w:val="0"/>
                <w:color w:val="263448"/>
                <w:sz w:val="15"/>
              </w:rPr>
              <w:t>SIE</w:t>
            </w:r>
          </w:p>
        </w:tc>
      </w:tr>
    </w:tbl>
    <w:p>
      <w:pPr>
        <w:spacing w:before="100" w:after="0"/>
        <w:jc w:val="center"/>
      </w:pPr>
      <w:r>
        <w:t xml:space="preserve">Dépôt Git : </w:t>
      </w:r>
      <w:hyperlink r:id="rId11">
        <w:r>
          <w:rPr>
            <w:color w:val="175CD3"/>
            <w:u w:val="single"/>
          </w:rPr>
          <w:t>github.com/ephraim2002/resultats-bf</w:t>
        </w:r>
      </w:hyperlink>
    </w:p>
    <w:p>
      <w:pPr>
        <w:spacing w:after="0"/>
        <w:jc w:val="center"/>
      </w:pPr>
      <w:r>
        <w:rPr>
          <w:i/>
          <w:color w:val="6C7A8B"/>
          <w:sz w:val="16"/>
        </w:rPr>
        <w:t>Document de travail daté du 27 octobre 2026 · Statut des scénarios détaillé dans le rapport</w:t>
      </w:r>
    </w:p>
    <w:p>
      <w:r>
        <w:br w:type="page"/>
      </w:r>
    </w:p>
    <w:p>
      <w:pPr>
        <w:pStyle w:val="Heading1"/>
        <w:keepNext/>
        <w:jc w:val="center"/>
      </w:pPr>
      <w:r>
        <w:rPr>
          <w:sz w:val="30"/>
        </w:rPr>
        <w:t>TABLE DES MATIÈRES</w:t>
      </w:r>
    </w:p>
    <w:p>
      <w:pPr>
        <w:widowControl/>
        <w:spacing w:after="30" w:line="240" w:lineRule="auto"/>
      </w:pPr>
      <w:r>
        <w:rPr>
          <w:sz w:val="16"/>
        </w:rPr>
        <w:t>Synthèse exécutive et exigences ............................................. 3</w:t>
      </w:r>
    </w:p>
    <w:p>
      <w:pPr>
        <w:pStyle w:val="ListNumber"/>
        <w:spacing w:after="40"/>
      </w:pPr>
      <w:r>
        <w:rPr>
          <w:sz w:val="17"/>
        </w:rPr>
        <w:t>Architecture générale et flux ............................................ 4</w:t>
      </w:r>
    </w:p>
    <w:p>
      <w:pPr>
        <w:widowControl/>
        <w:spacing w:after="30" w:line="240" w:lineRule="auto"/>
      </w:pPr>
      <w:r>
        <w:rPr>
          <w:sz w:val="16"/>
        </w:rPr>
        <w:t>1.1 Vue d’ensemble de l’architecture ........................................ 5</w:t>
      </w:r>
    </w:p>
    <w:p>
      <w:pPr>
        <w:pStyle w:val="ListNumber"/>
        <w:spacing w:after="40"/>
      </w:pPr>
      <w:r>
        <w:rPr>
          <w:sz w:val="17"/>
        </w:rPr>
        <w:t>Machines virtuelles et flux réseau ........................................ 6</w:t>
      </w:r>
    </w:p>
    <w:p>
      <w:pPr>
        <w:pStyle w:val="ListNumber"/>
        <w:spacing w:after="40"/>
      </w:pPr>
      <w:r>
        <w:rPr>
          <w:sz w:val="17"/>
        </w:rPr>
        <w:t>Application, API et données .............................................. 7</w:t>
      </w:r>
    </w:p>
    <w:p>
      <w:pPr>
        <w:pStyle w:val="ListNumber"/>
        <w:spacing w:after="40"/>
      </w:pPr>
      <w:r>
        <w:rPr>
          <w:sz w:val="17"/>
        </w:rPr>
        <w:t>Provisionnement et reproductibilité ...................................... 8</w:t>
      </w:r>
    </w:p>
    <w:p>
      <w:pPr>
        <w:pStyle w:val="ListNumber"/>
        <w:spacing w:after="40"/>
      </w:pPr>
      <w:r>
        <w:rPr>
          <w:sz w:val="17"/>
        </w:rPr>
        <w:t>Répartition de charge et résultats ....................................... 8</w:t>
      </w:r>
    </w:p>
    <w:p>
      <w:pPr>
        <w:pStyle w:val="ListNumber"/>
        <w:spacing w:after="40"/>
      </w:pPr>
      <w:r>
        <w:rPr>
          <w:sz w:val="17"/>
        </w:rPr>
        <w:t>Réplication et stratégie de reprise ....................................... 9</w:t>
      </w:r>
    </w:p>
    <w:p>
      <w:pPr>
        <w:pStyle w:val="ListNumber"/>
        <w:spacing w:after="40"/>
      </w:pPr>
      <w:r>
        <w:rPr>
          <w:sz w:val="17"/>
        </w:rPr>
        <w:t>Haute disponibilité des répartiteurs .................................... 10</w:t>
      </w:r>
    </w:p>
    <w:p>
      <w:pPr>
        <w:pStyle w:val="ListNumber"/>
        <w:spacing w:after="40"/>
      </w:pPr>
      <w:r>
        <w:rPr>
          <w:sz w:val="17"/>
        </w:rPr>
        <w:t>Supervision et observabilité ............................................ 11</w:t>
      </w:r>
    </w:p>
    <w:p>
      <w:pPr>
        <w:pStyle w:val="ListNumber"/>
        <w:spacing w:after="40"/>
      </w:pPr>
      <w:r>
        <w:rPr>
          <w:sz w:val="17"/>
        </w:rPr>
        <w:t>Validation, risques et limites .......................................... 12</w:t>
      </w:r>
    </w:p>
    <w:p>
      <w:pPr>
        <w:pStyle w:val="ListNumber"/>
        <w:spacing w:after="40"/>
      </w:pPr>
      <w:r>
        <w:rPr>
          <w:sz w:val="17"/>
        </w:rPr>
        <w:t>Organisation et conclusion ............................................. 14</w:t>
      </w:r>
    </w:p>
    <w:p>
      <w:pPr>
        <w:widowControl/>
        <w:spacing w:after="30" w:line="240" w:lineRule="auto"/>
      </w:pPr>
      <w:r>
        <w:rPr>
          <w:sz w:val="16"/>
        </w:rPr>
        <w:t>Annexe — protocole de soutenance ............................................ 15</w:t>
      </w:r>
    </w:p>
    <w:p>
      <w:r>
        <w:br w:type="page"/>
      </w:r>
    </w:p>
    <w:p>
      <w:pPr>
        <w:pStyle w:val="Heading1"/>
        <w:keepNext/>
      </w:pPr>
      <w:r>
        <w:rPr>
          <w:sz w:val="26"/>
        </w:rPr>
        <w:t>SYNTHÈSE EXÉCUTIVE ET EXIGENCES</w:t>
      </w:r>
    </w:p>
    <w:p>
      <w:pPr>
        <w:widowControl/>
        <w:spacing w:after="30" w:line="240" w:lineRule="auto"/>
      </w:pPr>
      <w:r>
        <w:rPr>
          <w:sz w:val="16"/>
        </w:rPr>
        <w:t>Le projet RÉSULTATS-BF met en œuvre une plateforme permettant de retrouver un résultat d’examen à partir d’un matricule. L’objectif central n’est pas de construire une application métier complexe : il est de rendre l’infrastructure reproductible, extensible par paramétrage, observable et capable de tolérer certaines pannes.</w:t>
      </w:r>
    </w:p>
    <w:p>
      <w:pPr>
        <w:widowControl/>
        <w:spacing w:after="30" w:line="240" w:lineRule="auto"/>
      </w:pPr>
      <w:r>
        <w:rPr>
          <w:sz w:val="16"/>
        </w:rPr>
        <w:t>Architecture cible : postes et hyperviseur VirtualBox ; orchestration Vagrant ; réseau privé 192.168.63.0/24 ; quatre instances applicatives Flask/Gunicorn configurables ; PostgreSQL primaire et réplica en flux ; deux répartiteurs HAProxy/Keepalived avec une adresse virtuelle ; supervision Prometheus/Grafana optionnelle. Pour respecter la mémoire disponible sur le poste de travail, l’exécution mesurée a volontairement été limitée à deux applications (NB_APP=2) ; app3/app4 sont prévues par le projet et le Vagrantfile, mais n’étaient pas démarrées lors de cette campagne.</w:t>
      </w:r>
    </w:p>
    <w:p>
      <w:pPr>
        <w:pStyle w:val="Heading1"/>
        <w:keepNext/>
      </w:pPr>
      <w:r>
        <w:rPr>
          <w:sz w:val="26"/>
        </w:rPr>
        <w:t>ÉTAT DE L’ENVIRONNEMENT EXAMINÉ LE 27/10/2026</w:t>
      </w:r>
    </w:p>
    <w:p>
      <w:pPr>
        <w:pStyle w:val="ListBullet"/>
        <w:spacing w:after="40"/>
      </w:pPr>
      <w:r>
        <w:rPr>
          <w:sz w:val="17"/>
        </w:rPr>
        <w:t>7 VMs indiquées « running » par Vagrant : bdd1, bdd2, app1, app2, lb1, lb2 et obs.</w:t>
      </w:r>
    </w:p>
    <w:p>
      <w:pPr>
        <w:pStyle w:val="ListBullet"/>
        <w:spacing w:after="40"/>
      </w:pPr>
      <w:r>
        <w:rPr>
          <w:sz w:val="17"/>
        </w:rPr>
        <w:t>Configuration effectivement exécutée : NB_APP=2, ENABLE_HA=true, ENABLE_OBS=true. Le projet accepte NB_APP de 2 à 4 ; le choix de deux instances pendant cette validation est volontaire et lié aux ressources mémoire disponibles sur le poste, non à une limite fonctionnelle du projet. app3/app4 restent des nœuds prévus mais non démarrés dans cette exécution.</w:t>
      </w:r>
    </w:p>
    <w:p>
      <w:pPr>
        <w:pStyle w:val="ListBullet"/>
        <w:spacing w:after="40"/>
      </w:pPr>
      <w:r>
        <w:rPr>
          <w:sz w:val="17"/>
        </w:rPr>
        <w:t>« vagrant validate » : réussite.</w:t>
      </w:r>
    </w:p>
    <w:p>
      <w:pPr>
        <w:pStyle w:val="ListBullet"/>
        <w:spacing w:after="40"/>
      </w:pPr>
      <w:r>
        <w:rPr>
          <w:sz w:val="17"/>
        </w:rPr>
        <w:t>Contrôles HTTP en lecture seule : API /info et /sante en HTTP 200 via localhost:8080 et via la VIP 192.168.63.10 ; les deux hôtes app1/app2 répondent directement.</w:t>
      </w:r>
    </w:p>
    <w:p>
      <w:pPr>
        <w:pStyle w:val="ListBullet"/>
        <w:spacing w:after="40"/>
      </w:pPr>
      <w:r>
        <w:rPr>
          <w:sz w:val="17"/>
        </w:rPr>
        <w:t>Recherche du candidat MAT000001 : HTTP 200 ; le matricule retourné correspond à la requête.</w:t>
      </w:r>
    </w:p>
    <w:p>
      <w:pPr>
        <w:pStyle w:val="ListBullet"/>
        <w:spacing w:after="40"/>
      </w:pPr>
      <w:r>
        <w:rPr>
          <w:sz w:val="17"/>
        </w:rPr>
        <w:t>PostgreSQL bdd1 : 50 000 lignes. PostgreSQL bdd2 : 50 000 lignes et mode standby actif.</w:t>
      </w:r>
    </w:p>
    <w:p>
      <w:pPr>
        <w:pStyle w:val="ListBullet"/>
        <w:spacing w:after="40"/>
      </w:pPr>
      <w:r>
        <w:rPr>
          <w:sz w:val="17"/>
        </w:rPr>
        <w:t>Réplication observée : état « streaming » ; LSN envoyé égal au LSN rejoué au relevé.</w:t>
      </w:r>
    </w:p>
    <w:p>
      <w:pPr>
        <w:pStyle w:val="ListBullet"/>
        <w:spacing w:after="40"/>
      </w:pPr>
      <w:r>
        <w:rPr>
          <w:sz w:val="17"/>
        </w:rPr>
        <w:t>Répartition active : sur 200 requêtes /info séquentielles à NB_APP=2, 100 réponses app1 et 100 app2 ; zéro erreur, écart 0 %, débit observé 85,8 requêtes/s. Ce relevé a été fait avec deux applications actives par choix de ressources, alors que le profil cible prévoit quatre.</w:t>
      </w:r>
    </w:p>
    <w:p>
      <w:pPr>
        <w:pStyle w:val="ListBullet"/>
        <w:spacing w:after="40"/>
      </w:pPr>
      <w:r>
        <w:rPr>
          <w:sz w:val="17"/>
        </w:rPr>
        <w:t>Prometheus prêt ; 10 cibles « up » sur 12 actives. Les deux cibles « down » sont les Node Exporter app3/app4:9100 : ces serveurs font partie de la capacité cible, mais ont été volontairement laissés arrêtés (NB_APP=2) pour respecter les ressources du poste.</w:t>
      </w:r>
    </w:p>
    <w:p>
      <w:pPr>
        <w:pStyle w:val="ListBullet"/>
        <w:spacing w:after="40"/>
      </w:pPr>
      <w:r>
        <w:rPr>
          <w:sz w:val="17"/>
        </w:rPr>
        <w:t>Grafana API health : HTTP 200, base « ok », version 13.2.4. La consultation anonyme de l’API de recherche des dashboards retourne HTTP 401 : l’interface et le tableau de bord ne sont donc pas certifiés par cette vérification.</w:t>
      </w:r>
    </w:p>
    <w:p>
      <w:pPr>
        <w:widowControl/>
        <w:spacing w:after="30" w:line="240" w:lineRule="auto"/>
      </w:pPr>
      <w:r>
        <w:rPr>
          <w:sz w:val="16"/>
        </w:rPr>
        <w:t>Les mesures décrivent cette instance limitée volontairement à deux serveurs pour raison de ressources ; elles ne prouvent pas à elles seules une reconstruction intégrale, un scénario de panne, une mesure à quatre nœuds ou l’extension sans interruption. La configuration cible reste quatre applications.</w:t>
      </w:r>
    </w:p>
    <w:p>
      <w:r>
        <w:br w:type="page"/>
      </w:r>
    </w:p>
    <w:p>
      <w:pPr>
        <w:pStyle w:val="Heading1"/>
        <w:keepNext/>
      </w:pPr>
      <w:r>
        <w:rPr>
          <w:sz w:val="26"/>
        </w:rPr>
        <w:t>1. ARCHITECTURE GÉNÉRALE ET FLUX</w:t>
      </w:r>
    </w:p>
    <w:p>
      <w:pPr>
        <w:widowControl/>
        <w:spacing w:after="30" w:line="240" w:lineRule="auto"/>
      </w:pPr>
      <w:r>
        <w:rPr>
          <w:sz w:val="16"/>
        </w:rPr>
        <w:t>La publication de résultats scolaires crée un pic de consultation qui peut révéler une capacité insuffisante ou un point de défaillance unique. Le projet consiste à fournir une infrastructure décrite sous forme de code, reproductible sur un poste de travail et extensible sans modifier manuellement le fichier de répartition.</w:t>
      </w:r>
    </w:p>
    <w:p>
      <w:pPr>
        <w:widowControl/>
        <w:spacing w:after="30" w:line="240" w:lineRule="auto"/>
      </w:pPr>
      <w:r>
        <w:rPr>
          <w:sz w:val="16"/>
        </w:rPr>
        <w:t>Les exigences essentielles du sujet joint sont :</w:t>
      </w:r>
    </w:p>
    <w:p>
      <w:pPr>
        <w:widowControl/>
        <w:spacing w:after="30" w:line="240" w:lineRule="auto"/>
      </w:pPr>
      <w:r>
        <w:rPr>
          <w:sz w:val="16"/>
        </w:rPr>
        <w:t>R1 — reconstruction par Vagrant sans étape manuelle après le provisionnement ;</w:t>
      </w:r>
    </w:p>
    <w:p>
      <w:pPr>
        <w:widowControl/>
        <w:spacing w:after="30" w:line="240" w:lineRule="auto"/>
      </w:pPr>
      <w:r>
        <w:rPr>
          <w:sz w:val="16"/>
        </w:rPr>
        <w:t>R2 — provisionnement réexécutable et idempotent ;</w:t>
      </w:r>
    </w:p>
    <w:p>
      <w:pPr>
        <w:widowControl/>
        <w:spacing w:after="30" w:line="240" w:lineRule="auto"/>
      </w:pPr>
      <w:r>
        <w:rPr>
          <w:sz w:val="16"/>
        </w:rPr>
        <w:t>R3 — dimensionnement applicatif paramétrable ;</w:t>
      </w:r>
    </w:p>
    <w:p>
      <w:pPr>
        <w:widowControl/>
        <w:spacing w:after="30" w:line="240" w:lineRule="auto"/>
      </w:pPr>
      <w:r>
        <w:rPr>
          <w:sz w:val="16"/>
        </w:rPr>
        <w:t>R4 — sonde de santé servant au retrait des instances défaillantes ;</w:t>
      </w:r>
    </w:p>
    <w:p>
      <w:pPr>
        <w:widowControl/>
        <w:spacing w:after="30" w:line="240" w:lineRule="auto"/>
      </w:pPr>
      <w:r>
        <w:rPr>
          <w:sz w:val="16"/>
        </w:rPr>
        <w:t>R5 — réplication PostgreSQL ;</w:t>
      </w:r>
    </w:p>
    <w:p>
      <w:pPr>
        <w:widowControl/>
        <w:spacing w:after="30" w:line="240" w:lineRule="auto"/>
      </w:pPr>
      <w:r>
        <w:rPr>
          <w:sz w:val="16"/>
        </w:rPr>
        <w:t>R6 — procédure de promotion documentée ;</w:t>
      </w:r>
    </w:p>
    <w:p>
      <w:pPr>
        <w:widowControl/>
        <w:spacing w:after="30" w:line="240" w:lineRule="auto"/>
      </w:pPr>
      <w:r>
        <w:rPr>
          <w:sz w:val="16"/>
        </w:rPr>
        <w:t>R7 — secrets extérieurs au dépôt ;</w:t>
      </w:r>
    </w:p>
    <w:p>
      <w:pPr>
        <w:widowControl/>
        <w:spacing w:after="30" w:line="240" w:lineRule="auto"/>
      </w:pPr>
      <w:r>
        <w:rPr>
          <w:sz w:val="16"/>
        </w:rPr>
        <w:t>R8 — trafic applicatif interne sur réseau privé, entrée via le répartiteur.</w:t>
      </w:r>
    </w:p>
    <w:p>
      <w:pPr>
        <w:widowControl/>
        <w:spacing w:after="30" w:line="240" w:lineRule="auto"/>
      </w:pPr>
      <w:r>
        <w:rPr>
          <w:sz w:val="16"/>
        </w:rPr>
        <w:t>Le sujet demande des mesures V1 à V6, des extensions, un dossier d’architecture de 10 à 15 pages et un journal de 1 à 2 pages. Le présent dossier décrit la cible et l’état constaté le 27 octobre 2026 ; il différencie résultat vérifié, trace historique et test restant.</w:t>
      </w:r>
    </w:p>
    <w:p>
      <w:pPr>
        <w:widowControl/>
        <w:spacing w:after="30" w:line="240" w:lineRule="auto"/>
      </w:pPr>
      <w:r>
        <w:rPr>
          <w:sz w:val="16"/>
        </w:rPr>
        <w:t>Hors périmètre du prototype : exposition publique sur Internet, comptes utilisateurs, chiffrement TLS et promotion automatique de la base. La cible applicative comprend quatre serveurs ; la campagne documentée n’en a exécuté que deux, choix délibéré pour tenir compte de la mémoire disponible sur le poste. Le Vagrantfile permet de modifier NB_APP jusqu’à quatre ; la comparaison mesurée NB_APP=2/NB_APP=4 reste à réaliser sur un hôte doté de ressources suffisantes.</w:t>
      </w:r>
    </w:p>
    <w:p>
      <w:pPr>
        <w:widowControl/>
        <w:spacing w:after="30" w:line="240" w:lineRule="auto"/>
      </w:pPr>
      <w:r>
        <w:rPr>
          <w:sz w:val="16"/>
        </w:rPr>
        <w:t>Méthode de lecture : les éléments issus du code sont des comportements prévus ; seules les commandes et mesures explicitement relevées sont rapportées comme faits. Les tests qui interrompent ou détruisent des VMs sont listés comme travaux à autoriser, et non comme succès.</w:t>
      </w:r>
    </w:p>
    <w:p>
      <w:r>
        <w:br w:type="page"/>
      </w:r>
    </w:p>
    <w:p>
      <w:pPr>
        <w:pStyle w:val="Heading1"/>
        <w:keepNext/>
      </w:pPr>
      <w:r>
        <w:rPr>
          <w:sz w:val="26"/>
        </w:rPr>
        <w:t>2. VUE D’ENSEMBLE DE L’ARCHITECTURE</w:t>
      </w:r>
    </w:p>
    <w:p>
      <w:pPr>
        <w:spacing w:after="40"/>
        <w:jc w:val="center"/>
      </w:pPr>
      <w:r>
        <w:drawing>
          <wp:inline xmlns:a="http://schemas.openxmlformats.org/drawingml/2006/main" xmlns:pic="http://schemas.openxmlformats.org/drawingml/2006/picture">
            <wp:extent cx="5687568" cy="3014548"/>
            <wp:docPr id="1" name="Picture 1"/>
            <wp:cNvGraphicFramePr>
              <a:graphicFrameLocks noChangeAspect="1"/>
            </wp:cNvGraphicFramePr>
            <a:graphic>
              <a:graphicData uri="http://schemas.openxmlformats.org/drawingml/2006/picture">
                <pic:pic>
                  <pic:nvPicPr>
                    <pic:cNvPr id="0" name="cahier-figure.png"/>
                    <pic:cNvPicPr/>
                  </pic:nvPicPr>
                  <pic:blipFill>
                    <a:blip r:embed="rId12"/>
                    <a:stretch>
                      <a:fillRect/>
                    </a:stretch>
                  </pic:blipFill>
                  <pic:spPr>
                    <a:xfrm>
                      <a:off x="0" y="0"/>
                      <a:ext cx="5687568" cy="3014548"/>
                    </a:xfrm>
                    <a:prstGeom prst="rect"/>
                  </pic:spPr>
                </pic:pic>
              </a:graphicData>
            </a:graphic>
          </wp:inline>
        </w:drawing>
      </w:r>
    </w:p>
    <w:p>
      <w:pPr>
        <w:spacing w:after="80"/>
        <w:jc w:val="center"/>
      </w:pPr>
      <w:r>
        <w:rPr>
          <w:i/>
          <w:color w:val="5D6C7F"/>
          <w:sz w:val="16"/>
        </w:rPr>
        <w:t>Figure 1 — Architecture cible fournie dans le cahier des charges du projet.</w:t>
      </w:r>
    </w:p>
    <w:p>
      <w:pPr>
        <w:keepLines/>
        <w:spacing w:before="40" w:after="80"/>
        <w:ind w:left="198" w:right="113"/>
        <w:shd w:fill="F2F5F9"/>
      </w:pPr>
      <w:r>
        <w:rPr>
          <w:rFonts w:ascii="Cascadia Code" w:hAnsi="Cascadia Code"/>
          <w:color w:val="263448"/>
          <w:sz w:val="16"/>
        </w:rPr>
        <w:t xml:space="preserve">                Clients / poste de démonstration</w:t>
        <w:br/>
      </w:r>
      <w:r>
        <w:rPr>
          <w:rFonts w:ascii="Cascadia Code" w:hAnsi="Cascadia Code"/>
          <w:color w:val="263448"/>
          <w:sz w:val="16"/>
        </w:rPr>
        <w:t xml:space="preserve">                              │</w:t>
        <w:br/>
      </w:r>
      <w:r>
        <w:rPr>
          <w:rFonts w:ascii="Cascadia Code" w:hAnsi="Cascadia Code"/>
          <w:color w:val="263448"/>
          <w:sz w:val="16"/>
        </w:rPr>
        <w:t xml:space="preserve">                  127.0.0.1:8080 (port hôte)</w:t>
        <w:br/>
      </w:r>
      <w:r>
        <w:rPr>
          <w:rFonts w:ascii="Cascadia Code" w:hAnsi="Cascadia Code"/>
          <w:color w:val="263448"/>
          <w:sz w:val="16"/>
        </w:rPr>
        <w:t xml:space="preserve">                  192.168.63.10 (VIP VRRP)</w:t>
        <w:br/>
      </w:r>
      <w:r>
        <w:rPr>
          <w:rFonts w:ascii="Cascadia Code" w:hAnsi="Cascadia Code"/>
          <w:color w:val="263448"/>
          <w:sz w:val="16"/>
        </w:rPr>
        <w:t xml:space="preserve">                              │</w:t>
        <w:br/>
      </w:r>
      <w:r>
        <w:rPr>
          <w:rFonts w:ascii="Cascadia Code" w:hAnsi="Cascadia Code"/>
          <w:color w:val="263448"/>
          <w:sz w:val="16"/>
        </w:rPr>
        <w:t xml:space="preserve">                ┌─────────────┴─────────────┐</w:t>
        <w:br/>
      </w:r>
      <w:r>
        <w:rPr>
          <w:rFonts w:ascii="Cascadia Code" w:hAnsi="Cascadia Code"/>
          <w:color w:val="263448"/>
          <w:sz w:val="16"/>
        </w:rPr>
        <w:t xml:space="preserve">          lb1 — HAProxy              lb2 — HAProxy</w:t>
        <w:br/>
      </w:r>
      <w:r>
        <w:rPr>
          <w:rFonts w:ascii="Cascadia Code" w:hAnsi="Cascadia Code"/>
          <w:color w:val="263448"/>
          <w:sz w:val="16"/>
        </w:rPr>
        <w:t xml:space="preserve">          Keepalived                  Keepalived</w:t>
        <w:br/>
      </w:r>
      <w:r>
        <w:rPr>
          <w:rFonts w:ascii="Cascadia Code" w:hAnsi="Cascadia Code"/>
          <w:color w:val="263448"/>
          <w:sz w:val="16"/>
        </w:rPr>
        <w:t xml:space="preserve">          priorité 110                priorité 100</w:t>
        <w:br/>
      </w:r>
      <w:r>
        <w:rPr>
          <w:rFonts w:ascii="Cascadia Code" w:hAnsi="Cascadia Code"/>
          <w:color w:val="263448"/>
          <w:sz w:val="16"/>
        </w:rPr>
        <w:t xml:space="preserve">                └─────────────┬─────────────┘</w:t>
        <w:br/>
      </w:r>
      <w:r>
        <w:rPr>
          <w:rFonts w:ascii="Cascadia Code" w:hAnsi="Cascadia Code"/>
          <w:color w:val="263448"/>
          <w:sz w:val="16"/>
        </w:rPr>
        <w:t xml:space="preserve">                              │ HTTP privé, port 5000</w:t>
        <w:br/>
      </w:r>
      <w:r>
        <w:rPr>
          <w:rFonts w:ascii="Cascadia Code" w:hAnsi="Cascadia Code"/>
          <w:color w:val="263448"/>
          <w:sz w:val="16"/>
        </w:rPr>
        <w:t xml:space="preserve">                   ┌──────────┴──────────┐</w:t>
        <w:br/>
      </w:r>
      <w:r>
        <w:rPr>
          <w:rFonts w:ascii="Cascadia Code" w:hAnsi="Cascadia Code"/>
          <w:color w:val="263448"/>
          <w:sz w:val="16"/>
        </w:rPr>
        <w:t xml:space="preserve">   app1 — app2 — app3 — app4 (capacité cible, NB_APP=2..4)</w:t>
        <w:br/>
      </w:r>
      <w:r>
        <w:rPr>
          <w:rFonts w:ascii="Cascadia Code" w:hAnsi="Cascadia Code"/>
          <w:color w:val="263448"/>
          <w:sz w:val="16"/>
        </w:rPr>
        <w:t xml:space="preserve">      Flask/Gunicorn : /info · /sante · /resultat</w:t>
        <w:br/>
      </w:r>
      <w:r>
        <w:rPr>
          <w:rFonts w:ascii="Cascadia Code" w:hAnsi="Cascadia Code"/>
          <w:color w:val="263448"/>
          <w:sz w:val="16"/>
        </w:rPr>
        <w:t xml:space="preserve">    Exécution mesurée sur le poste : app1 et app2 (NB_APP=2)</w:t>
        <w:br/>
      </w:r>
      <w:r>
        <w:rPr>
          <w:rFonts w:ascii="Cascadia Code" w:hAnsi="Cascadia Code"/>
          <w:color w:val="263448"/>
          <w:sz w:val="16"/>
        </w:rPr>
        <w:t xml:space="preserve">                   └──────────┬──────────┘</w:t>
        <w:br/>
      </w:r>
      <w:r>
        <w:rPr>
          <w:rFonts w:ascii="Cascadia Code" w:hAnsi="Cascadia Code"/>
          <w:color w:val="263448"/>
          <w:sz w:val="16"/>
        </w:rPr>
        <w:t xml:space="preserve">                              │ PostgreSQL/TCP 5432</w:t>
        <w:br/>
      </w:r>
      <w:r>
        <w:rPr>
          <w:rFonts w:ascii="Cascadia Code" w:hAnsi="Cascadia Code"/>
          <w:color w:val="263448"/>
          <w:sz w:val="16"/>
        </w:rPr>
        <w:t xml:space="preserve">                ┌─────────────┴─────────────┐</w:t>
        <w:br/>
      </w:r>
      <w:r>
        <w:rPr>
          <w:rFonts w:ascii="Cascadia Code" w:hAnsi="Cascadia Code"/>
          <w:color w:val="263448"/>
          <w:sz w:val="16"/>
        </w:rPr>
        <w:t xml:space="preserve">           bdd1 primaire ─ WAL/flux ───► bdd2 standby</w:t>
        <w:br/>
      </w:r>
      <w:r>
        <w:rPr>
          <w:rFonts w:ascii="Cascadia Code" w:hAnsi="Cascadia Code"/>
          <w:color w:val="263448"/>
          <w:sz w:val="16"/>
        </w:rPr>
        <w:t xml:space="preserve">            50 000 résultats                 50 000 résultats</w:t>
        <w:br/>
      </w:r>
      <w:r>
        <w:rPr>
          <w:rFonts w:ascii="Cascadia Code" w:hAnsi="Cascadia Code"/>
          <w:color w:val="263448"/>
          <w:sz w:val="16"/>
        </w:rPr>
        <w:t xml:space="preserve"> </w:t>
        <w:br/>
      </w:r>
      <w:r>
        <w:rPr>
          <w:rFonts w:ascii="Cascadia Code" w:hAnsi="Cascadia Code"/>
          <w:color w:val="263448"/>
          <w:sz w:val="16"/>
        </w:rPr>
        <w:t xml:space="preserve">    obs — Prometheus :9100/HAProxy :8404 ; Grafana :3000</w:t>
        <w:br/>
      </w:r>
      <w:r>
        <w:rPr>
          <w:rFonts w:ascii="Cascadia Code" w:hAnsi="Cascadia Code"/>
          <w:color w:val="263448"/>
          <w:sz w:val="16"/>
        </w:rPr>
        <w:t xml:space="preserve"> </w:t>
      </w:r>
    </w:p>
    <w:p>
      <w:pPr>
        <w:widowControl/>
        <w:spacing w:after="30" w:line="240" w:lineRule="auto"/>
      </w:pPr>
      <w:r>
        <w:rPr>
          <w:sz w:val="16"/>
        </w:rPr>
        <w:t>Le schéma logique ci-dessus distingue le trafic utilisateur, la réplication des données et la collecte de métriques. La VIP est portée par le répartiteur actif. Le forwarded port Vagrant 8080 correspond à l’accès direct à lb1 et n’est pas un substitut à la VIP pour un test de basculement.</w:t>
      </w:r>
    </w:p>
    <w:p>
      <w:pPr>
        <w:widowControl/>
        <w:spacing w:after="30" w:line="240" w:lineRule="auto"/>
      </w:pPr>
      <w:r>
        <w:rPr>
          <w:sz w:val="16"/>
        </w:rPr>
        <w:t>Sources : Vagrantfile, scripts/setup-app.sh, scripts/setup-lb.sh, scripts/setup-lb-ha.sh, scripts/setup-database.sh, scripts/setup-replica.sh et scripts/setup-observability.sh. Les rôles sont déployés par des scripts Shell exécutés dans les invités Linux.</w:t>
      </w:r>
    </w:p>
    <w:p>
      <w:r>
        <w:br w:type="page"/>
      </w:r>
    </w:p>
    <w:p>
      <w:pPr>
        <w:pStyle w:val="Heading1"/>
        <w:keepNext/>
      </w:pPr>
      <w:r>
        <w:rPr>
          <w:sz w:val="26"/>
        </w:rPr>
        <w:t>2. MACHINES VIRTUELLES, RESSOURCES ET RÉSEAUX</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vAlign w:val="center"/>
            <w:tcMar>
              <w:top w:w="100" w:type="dxa"/>
              <w:start w:w="110" w:type="dxa"/>
              <w:bottom w:w="100" w:type="dxa"/>
              <w:end w:w="110" w:type="dxa"/>
            </w:tcMar>
            <w:shd w:fill="16324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color w:val="FFFFFF"/>
                <w:sz w:val="15"/>
              </w:rPr>
              <w:t>VM</w:t>
            </w:r>
          </w:p>
        </w:tc>
        <w:tc>
          <w:tcPr>
            <w:tcW w:type="dxa" w:w="1928"/>
            <w:vAlign w:val="center"/>
            <w:tcMar>
              <w:top w:w="100" w:type="dxa"/>
              <w:start w:w="110" w:type="dxa"/>
              <w:bottom w:w="100" w:type="dxa"/>
              <w:end w:w="110" w:type="dxa"/>
            </w:tcMar>
            <w:shd w:fill="16324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color w:val="FFFFFF"/>
                <w:sz w:val="15"/>
              </w:rPr>
              <w:t>Adresse</w:t>
            </w:r>
          </w:p>
        </w:tc>
        <w:tc>
          <w:tcPr>
            <w:tcW w:type="dxa" w:w="1928"/>
            <w:vAlign w:val="center"/>
            <w:tcMar>
              <w:top w:w="100" w:type="dxa"/>
              <w:start w:w="110" w:type="dxa"/>
              <w:bottom w:w="100" w:type="dxa"/>
              <w:end w:w="110" w:type="dxa"/>
            </w:tcMar>
            <w:shd w:fill="16324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color w:val="FFFFFF"/>
                <w:sz w:val="15"/>
              </w:rPr>
              <w:t>RAM configurée</w:t>
            </w:r>
          </w:p>
        </w:tc>
        <w:tc>
          <w:tcPr>
            <w:tcW w:type="dxa" w:w="1928"/>
            <w:vAlign w:val="center"/>
            <w:tcMar>
              <w:top w:w="100" w:type="dxa"/>
              <w:start w:w="110" w:type="dxa"/>
              <w:bottom w:w="100" w:type="dxa"/>
              <w:end w:w="110" w:type="dxa"/>
            </w:tcMar>
            <w:shd w:fill="16324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color w:val="FFFFFF"/>
                <w:sz w:val="15"/>
              </w:rPr>
              <w:t>Rôle</w:t>
            </w:r>
          </w:p>
        </w:tc>
        <w:tc>
          <w:tcPr>
            <w:tcW w:type="dxa" w:w="1928"/>
            <w:vAlign w:val="center"/>
            <w:tcMar>
              <w:top w:w="100" w:type="dxa"/>
              <w:start w:w="110" w:type="dxa"/>
              <w:bottom w:w="100" w:type="dxa"/>
              <w:end w:w="110" w:type="dxa"/>
            </w:tcMar>
            <w:shd w:fill="16324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color w:val="FFFFFF"/>
                <w:sz w:val="15"/>
              </w:rPr>
              <w:t>État au relevé</w:t>
            </w:r>
          </w:p>
        </w:tc>
      </w:tr>
      <w:tr>
        <w:tc>
          <w:tcPr>
            <w:tcW w:type="dxa" w:w="1928"/>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bdd1</w:t>
            </w:r>
          </w:p>
        </w:tc>
        <w:tc>
          <w:tcPr>
            <w:tcW w:type="dxa" w:w="1928"/>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192.168.63.31</w:t>
            </w:r>
          </w:p>
        </w:tc>
        <w:tc>
          <w:tcPr>
            <w:tcW w:type="dxa" w:w="1928"/>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768 Mio</w:t>
            </w:r>
          </w:p>
        </w:tc>
        <w:tc>
          <w:tcPr>
            <w:tcW w:type="dxa" w:w="1928"/>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PostgreSQL primaire</w:t>
            </w:r>
          </w:p>
        </w:tc>
        <w:tc>
          <w:tcPr>
            <w:tcW w:type="dxa" w:w="1928"/>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running</w:t>
            </w:r>
          </w:p>
        </w:tc>
      </w:tr>
      <w:tr>
        <w:tc>
          <w:tcPr>
            <w:tcW w:type="dxa" w:w="1928"/>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bdd2</w:t>
            </w:r>
          </w:p>
        </w:tc>
        <w:tc>
          <w:tcPr>
            <w:tcW w:type="dxa" w:w="1928"/>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192.168.63.32</w:t>
            </w:r>
          </w:p>
        </w:tc>
        <w:tc>
          <w:tcPr>
            <w:tcW w:type="dxa" w:w="1928"/>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768 Mio</w:t>
            </w:r>
          </w:p>
        </w:tc>
        <w:tc>
          <w:tcPr>
            <w:tcW w:type="dxa" w:w="1928"/>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PostgreSQL standby</w:t>
            </w:r>
          </w:p>
        </w:tc>
        <w:tc>
          <w:tcPr>
            <w:tcW w:type="dxa" w:w="1928"/>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running</w:t>
            </w:r>
          </w:p>
        </w:tc>
      </w:tr>
      <w:tr>
        <w:tc>
          <w:tcPr>
            <w:tcW w:type="dxa" w:w="1928"/>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app1</w:t>
            </w:r>
          </w:p>
        </w:tc>
        <w:tc>
          <w:tcPr>
            <w:tcW w:type="dxa" w:w="1928"/>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192.168.63.21</w:t>
            </w:r>
          </w:p>
        </w:tc>
        <w:tc>
          <w:tcPr>
            <w:tcW w:type="dxa" w:w="1928"/>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512 Mio</w:t>
            </w:r>
          </w:p>
        </w:tc>
        <w:tc>
          <w:tcPr>
            <w:tcW w:type="dxa" w:w="1928"/>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API applicative</w:t>
            </w:r>
          </w:p>
        </w:tc>
        <w:tc>
          <w:tcPr>
            <w:tcW w:type="dxa" w:w="1928"/>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running</w:t>
            </w:r>
          </w:p>
        </w:tc>
      </w:tr>
      <w:tr>
        <w:tc>
          <w:tcPr>
            <w:tcW w:type="dxa" w:w="1928"/>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app2</w:t>
            </w:r>
          </w:p>
        </w:tc>
        <w:tc>
          <w:tcPr>
            <w:tcW w:type="dxa" w:w="1928"/>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192.168.63.22</w:t>
            </w:r>
          </w:p>
        </w:tc>
        <w:tc>
          <w:tcPr>
            <w:tcW w:type="dxa" w:w="1928"/>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512 Mio</w:t>
            </w:r>
          </w:p>
        </w:tc>
        <w:tc>
          <w:tcPr>
            <w:tcW w:type="dxa" w:w="1928"/>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API applicative</w:t>
            </w:r>
          </w:p>
        </w:tc>
        <w:tc>
          <w:tcPr>
            <w:tcW w:type="dxa" w:w="1928"/>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running</w:t>
            </w:r>
          </w:p>
        </w:tc>
      </w:tr>
      <w:tr>
        <w:tc>
          <w:tcPr>
            <w:tcW w:type="dxa" w:w="1928"/>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lb1</w:t>
            </w:r>
          </w:p>
        </w:tc>
        <w:tc>
          <w:tcPr>
            <w:tcW w:type="dxa" w:w="1928"/>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192.168.63.11</w:t>
            </w:r>
          </w:p>
        </w:tc>
        <w:tc>
          <w:tcPr>
            <w:tcW w:type="dxa" w:w="1928"/>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512 Mio</w:t>
            </w:r>
          </w:p>
        </w:tc>
        <w:tc>
          <w:tcPr>
            <w:tcW w:type="dxa" w:w="1928"/>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HAProxy + Keepalived</w:t>
            </w:r>
          </w:p>
        </w:tc>
        <w:tc>
          <w:tcPr>
            <w:tcW w:type="dxa" w:w="1928"/>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running, port hôte 8080</w:t>
            </w:r>
          </w:p>
        </w:tc>
      </w:tr>
      <w:tr>
        <w:tc>
          <w:tcPr>
            <w:tcW w:type="dxa" w:w="1928"/>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lb2</w:t>
            </w:r>
          </w:p>
        </w:tc>
        <w:tc>
          <w:tcPr>
            <w:tcW w:type="dxa" w:w="1928"/>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192.168.63.12</w:t>
            </w:r>
          </w:p>
        </w:tc>
        <w:tc>
          <w:tcPr>
            <w:tcW w:type="dxa" w:w="1928"/>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512 Mio</w:t>
            </w:r>
          </w:p>
        </w:tc>
        <w:tc>
          <w:tcPr>
            <w:tcW w:type="dxa" w:w="1928"/>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HAProxy + Keepalived</w:t>
            </w:r>
          </w:p>
        </w:tc>
        <w:tc>
          <w:tcPr>
            <w:tcW w:type="dxa" w:w="1928"/>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running, port hôte 8081</w:t>
            </w:r>
          </w:p>
        </w:tc>
      </w:tr>
      <w:tr>
        <w:tc>
          <w:tcPr>
            <w:tcW w:type="dxa" w:w="1928"/>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obs</w:t>
            </w:r>
          </w:p>
        </w:tc>
        <w:tc>
          <w:tcPr>
            <w:tcW w:type="dxa" w:w="1928"/>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192.168.63.41</w:t>
            </w:r>
          </w:p>
        </w:tc>
        <w:tc>
          <w:tcPr>
            <w:tcW w:type="dxa" w:w="1928"/>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1024 Mio</w:t>
            </w:r>
          </w:p>
        </w:tc>
        <w:tc>
          <w:tcPr>
            <w:tcW w:type="dxa" w:w="1928"/>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Prometheus + Grafana</w:t>
            </w:r>
          </w:p>
        </w:tc>
        <w:tc>
          <w:tcPr>
            <w:tcW w:type="dxa" w:w="1928"/>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running</w:t>
            </w:r>
          </w:p>
        </w:tc>
      </w:tr>
    </w:tbl>
    <w:p>
      <w:pPr>
        <w:spacing w:after="20"/>
      </w:pPr>
    </w:p>
    <w:p>
      <w:pPr>
        <w:widowControl/>
        <w:spacing w:after="30" w:line="240" w:lineRule="auto"/>
      </w:pPr>
      <w:r>
        <w:rPr>
          <w:sz w:val="16"/>
        </w:rPr>
        <w:t>Somme mémoire attribuée pour cette configuration exécutée à deux applications : 4 608 Mio (4,5 Gio), hors système hôte. Avec app3 et app4, le total configuré serait 5 632 Mio (5,5 Gio). Le sujet donne environ 3 Gio pour son socle de cinq VM. Ici, bdd1 + bdd2 + 2 apps totalisent 2 560 Mio ; lb1/lb2 ajoutent 1 024 Mio et obs ajoute 1 024 Mio, soit 4 608 Mio. Les deux VM applicatives supplémentaires ajouteraient encore 1 024 Mio. L’équipe a donc volontairement limité le nombre d’applications actives à deux pour préserver la mémoire du poste ; le dimensionnement applicatif cible reste quatre. Ces sommes représentent la mémoire virtuelle configurée, pas une mesure de consommation RAM effectivement observée.</w:t>
      </w:r>
    </w:p>
    <w:p>
      <w:pPr>
        <w:widowControl/>
        <w:spacing w:after="30" w:line="240" w:lineRule="auto"/>
      </w:pPr>
      <w:r>
        <w:rPr>
          <w:sz w:val="16"/>
        </w:rPr>
        <w:t>Dans Vagrantfile, NB_APP est borné de 2 à 4 ; ENABLE_HA ajoute lb2 et ENABLE_OBS ajoute obs. Les quatre applications peuvent être démarrées sur une machine de capacité suffisante sans changer leur code ni la configuration fonctionnelle du répartiteur. Le contrôle courant porte sur les deux applications actives, non sur un pool de quatre.</w:t>
      </w:r>
    </w:p>
    <w:p>
      <w:pPr>
        <w:widowControl/>
        <w:spacing w:after="30" w:line="240" w:lineRule="auto"/>
      </w:pPr>
      <w:r>
        <w:rPr>
          <w:sz w:val="16"/>
        </w:rPr>
        <w:t>Configuration mesurée à l’exécution : NB_APP=2, ENABLE_HA=true, ENABLE_OBS=true. Le groupe a choisi deux applications pour limiter la consommation du poste de travail, tout en conservant quatre comme capacité cible. La RAM configurée par VM applicative est de 512 Mio : app1/app2 représentent 1 Gio attribué ; app3/app4 ajouteraient 1 Gio. Le choix d’exécution à deux ne signifie pas que le besoin cible est de deux serveurs. Chaque VM est configurée avec un vCPU ; les ressources effectivement disponibles côté hôte n’ont pas fait l’objet d’un relevé de saturation.</w:t>
      </w:r>
    </w:p>
    <w:p>
      <w:pPr>
        <w:widowControl/>
        <w:spacing w:after="30" w:line="240" w:lineRule="auto"/>
      </w:pPr>
      <w:r>
        <w:rPr>
          <w:sz w:val="16"/>
        </w:rPr>
        <w:t xml:space="preserve">Pour reproduire la configuration mesurée, copier </w:t>
      </w:r>
      <w:r>
        <w:rPr>
          <w:rFonts w:ascii="Cascadia Code" w:hAnsi="Cascadia Code"/>
          <w:color w:val="175CD3"/>
          <w:sz w:val="14"/>
        </w:rPr>
        <w:t>.env.exemple</w:t>
      </w:r>
      <w:r>
        <w:rPr>
          <w:sz w:val="16"/>
        </w:rPr>
        <w:t xml:space="preserve"> vers </w:t>
      </w:r>
      <w:r>
        <w:rPr>
          <w:rFonts w:ascii="Cascadia Code" w:hAnsi="Cascadia Code"/>
          <w:color w:val="175CD3"/>
          <w:sz w:val="14"/>
        </w:rPr>
        <w:t>.env</w:t>
      </w:r>
      <w:r>
        <w:rPr>
          <w:sz w:val="16"/>
        </w:rPr>
        <w:t xml:space="preserve"> et régler </w:t>
      </w:r>
      <w:r>
        <w:rPr>
          <w:rFonts w:ascii="Cascadia Code" w:hAnsi="Cascadia Code"/>
          <w:color w:val="175CD3"/>
          <w:sz w:val="14"/>
        </w:rPr>
        <w:t>NB_APP=2</w:t>
      </w:r>
      <w:r>
        <w:rPr>
          <w:sz w:val="16"/>
        </w:rPr>
        <w:t xml:space="preserve">. Sur une machine plus puissante, sélectionner </w:t>
      </w:r>
      <w:r>
        <w:rPr>
          <w:rFonts w:ascii="Cascadia Code" w:hAnsi="Cascadia Code"/>
          <w:color w:val="175CD3"/>
          <w:sz w:val="14"/>
        </w:rPr>
        <w:t>NB_APP=4</w:t>
      </w:r>
      <w:r>
        <w:rPr>
          <w:sz w:val="16"/>
        </w:rPr>
        <w:t xml:space="preserve"> pour utiliser la capacité applicative complète du Vagrantfile. Conserver les autres paramètres identiques lors d’une comparaison.</w:t>
      </w:r>
    </w:p>
    <w:p>
      <w:pPr>
        <w:pStyle w:val="Heading1"/>
        <w:keepNext/>
      </w:pPr>
      <w:r>
        <w:rPr>
          <w:sz w:val="26"/>
        </w:rPr>
        <w:t>2.2 FLUX RÉSEAU ET PORTS</w:t>
      </w:r>
    </w:p>
    <w:tbl>
      <w:tblPr>
        <w:tblStyle w:val="TableGrid"/>
        <w:tblW w:type="auto" w:w="0"/>
        <w:tblLayout w:type="autofit"/>
        <w:tblLook w:firstColumn="1" w:firstRow="1" w:lastColumn="0" w:lastRow="0" w:noHBand="0" w:noVBand="1" w:val="04A0"/>
      </w:tblPr>
      <w:tblGrid>
        <w:gridCol w:w="2410"/>
        <w:gridCol w:w="2410"/>
        <w:gridCol w:w="2410"/>
        <w:gridCol w:w="2410"/>
      </w:tblGrid>
      <w:tr>
        <w:trPr>
          <w:tblHeader w:val="true"/>
        </w:trPr>
        <w:tc>
          <w:tcPr>
            <w:tcW w:type="dxa" w:w="2410"/>
            <w:vAlign w:val="center"/>
            <w:tcMar>
              <w:top w:w="100" w:type="dxa"/>
              <w:start w:w="110" w:type="dxa"/>
              <w:bottom w:w="100" w:type="dxa"/>
              <w:end w:w="110" w:type="dxa"/>
            </w:tcMar>
            <w:shd w:fill="16324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color w:val="FFFFFF"/>
                <w:sz w:val="15"/>
              </w:rPr>
              <w:t>Origine</w:t>
            </w:r>
          </w:p>
        </w:tc>
        <w:tc>
          <w:tcPr>
            <w:tcW w:type="dxa" w:w="2410"/>
            <w:vAlign w:val="center"/>
            <w:tcMar>
              <w:top w:w="100" w:type="dxa"/>
              <w:start w:w="110" w:type="dxa"/>
              <w:bottom w:w="100" w:type="dxa"/>
              <w:end w:w="110" w:type="dxa"/>
            </w:tcMar>
            <w:shd w:fill="16324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color w:val="FFFFFF"/>
                <w:sz w:val="15"/>
              </w:rPr>
              <w:t>Destination</w:t>
            </w:r>
          </w:p>
        </w:tc>
        <w:tc>
          <w:tcPr>
            <w:tcW w:type="dxa" w:w="2410"/>
            <w:vAlign w:val="center"/>
            <w:tcMar>
              <w:top w:w="100" w:type="dxa"/>
              <w:start w:w="110" w:type="dxa"/>
              <w:bottom w:w="100" w:type="dxa"/>
              <w:end w:w="110" w:type="dxa"/>
            </w:tcMar>
            <w:shd w:fill="16324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color w:val="FFFFFF"/>
                <w:sz w:val="15"/>
              </w:rPr>
              <w:t>Port</w:t>
            </w:r>
          </w:p>
        </w:tc>
        <w:tc>
          <w:tcPr>
            <w:tcW w:type="dxa" w:w="2410"/>
            <w:vAlign w:val="center"/>
            <w:tcMar>
              <w:top w:w="100" w:type="dxa"/>
              <w:start w:w="110" w:type="dxa"/>
              <w:bottom w:w="100" w:type="dxa"/>
              <w:end w:w="110" w:type="dxa"/>
            </w:tcMar>
            <w:shd w:fill="16324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color w:val="FFFFFF"/>
                <w:sz w:val="15"/>
              </w:rPr>
              <w:t>Utilité</w:t>
            </w:r>
          </w:p>
        </w:tc>
      </w:tr>
      <w:tr>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Poste hôte</w:t>
            </w:r>
          </w:p>
        </w:tc>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redirection Vagrant lb1</w:t>
            </w:r>
          </w:p>
        </w:tc>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8080 → 80</w:t>
            </w:r>
          </w:p>
        </w:tc>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Entrée de démonstration</w:t>
            </w:r>
          </w:p>
        </w:tc>
      </w:tr>
      <w:tr>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Poste hôte</w:t>
            </w:r>
          </w:p>
        </w:tc>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redirection Vagrant lb2</w:t>
            </w:r>
          </w:p>
        </w:tc>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8081 → 80</w:t>
            </w:r>
          </w:p>
        </w:tc>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Accès direct de secours</w:t>
            </w:r>
          </w:p>
        </w:tc>
      </w:tr>
      <w:tr>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Client du réseau privé</w:t>
            </w:r>
          </w:p>
        </w:tc>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VIP 192.168.63.10</w:t>
            </w:r>
          </w:p>
        </w:tc>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80</w:t>
            </w:r>
          </w:p>
        </w:tc>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Adresse stable Keepalived</w:t>
            </w:r>
          </w:p>
        </w:tc>
      </w:tr>
      <w:tr>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HAProxy</w:t>
            </w:r>
          </w:p>
        </w:tc>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app1…appN</w:t>
            </w:r>
          </w:p>
        </w:tc>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5000</w:t>
            </w:r>
          </w:p>
        </w:tc>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Requêtes HTTP applicatives</w:t>
            </w:r>
          </w:p>
        </w:tc>
      </w:tr>
      <w:tr>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applications</w:t>
            </w:r>
          </w:p>
        </w:tc>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bdd1</w:t>
            </w:r>
          </w:p>
        </w:tc>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5432</w:t>
            </w:r>
          </w:p>
        </w:tc>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Requêtes PostgreSQL et résultats</w:t>
            </w:r>
          </w:p>
        </w:tc>
      </w:tr>
      <w:tr>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bdd2</w:t>
            </w:r>
          </w:p>
        </w:tc>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bdd1</w:t>
            </w:r>
          </w:p>
        </w:tc>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5432</w:t>
            </w:r>
          </w:p>
        </w:tc>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pg_basebackup et streaming WAL</w:t>
            </w:r>
          </w:p>
        </w:tc>
      </w:tr>
      <w:tr>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Prometheus</w:t>
            </w:r>
          </w:p>
        </w:tc>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Node Exporter</w:t>
            </w:r>
          </w:p>
        </w:tc>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9100</w:t>
            </w:r>
          </w:p>
        </w:tc>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Métriques système</w:t>
            </w:r>
          </w:p>
        </w:tc>
      </w:tr>
      <w:tr>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Prometheus</w:t>
            </w:r>
          </w:p>
        </w:tc>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HAProxy</w:t>
            </w:r>
          </w:p>
        </w:tc>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8404</w:t>
            </w:r>
          </w:p>
        </w:tc>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Compteurs HTTP, état des backends</w:t>
            </w:r>
          </w:p>
        </w:tc>
      </w:tr>
      <w:tr>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Navigateur hôte</w:t>
            </w:r>
          </w:p>
        </w:tc>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Grafana / Prometheus</w:t>
            </w:r>
          </w:p>
        </w:tc>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3000 / 9090</w:t>
            </w:r>
          </w:p>
        </w:tc>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Interfaces et API de supervision</w:t>
            </w:r>
          </w:p>
        </w:tc>
      </w:tr>
    </w:tbl>
    <w:p>
      <w:pPr>
        <w:spacing w:after="20"/>
      </w:pPr>
    </w:p>
    <w:p>
      <w:pPr>
        <w:widowControl/>
        <w:spacing w:after="30" w:line="240" w:lineRule="auto"/>
      </w:pPr>
      <w:r>
        <w:rPr>
          <w:sz w:val="16"/>
        </w:rPr>
        <w:t>HAProxy écoute sur 80 dans les VM lb et expose un front-end métriques séparé. La configuration d’équilibrage suit un algorithme round-robin et interroge GET /sante ; elle attend le statut 200 et déclare indisponible une cible après deux échecs consécutifs avec une seconde entre vérifications.</w:t>
      </w:r>
    </w:p>
    <w:p>
      <w:pPr>
        <w:widowControl/>
        <w:spacing w:after="30" w:line="240" w:lineRule="auto"/>
      </w:pPr>
      <w:r>
        <w:rPr>
          <w:sz w:val="16"/>
        </w:rPr>
        <w:t>Le code Flask vérifie PostgreSQL et renvoie un objet JSON de statut. La version déployée au relevé répond /sante=200 lorsque SELECT 1 aboutit. L’endpoint /info fournit l’identité du nœud sans solliciter la base ; l’endpoint /resultat lit un matricule paramétré. Le trafic inter-machine prévu emprunte le réseau privé Vagrant.</w:t>
      </w:r>
    </w:p>
    <w:p>
      <w:r>
        <w:br w:type="page"/>
      </w:r>
    </w:p>
    <w:p>
      <w:pPr>
        <w:pStyle w:val="Heading1"/>
        <w:keepNext/>
      </w:pPr>
      <w:r>
        <w:rPr>
          <w:sz w:val="26"/>
        </w:rPr>
        <w:t>3. APPLICATION, API ET DONNÉES</w:t>
      </w:r>
    </w:p>
    <w:p>
      <w:pPr>
        <w:widowControl/>
        <w:spacing w:after="30" w:line="240" w:lineRule="auto"/>
      </w:pPr>
      <w:r>
        <w:rPr>
          <w:sz w:val="16"/>
        </w:rPr>
        <w:t>Table publique resultats : matricule (clé primaire), nom, serie, moyenne, admis. Un index secondaire sur serie est déclaré dans schema.sql. Le script seed.sql peuple la table de 50 000 lignes déterministes et tolère la réexécution par ON CONFLICT DO NOTHING.</w:t>
      </w:r>
    </w:p>
    <w:p>
      <w:pPr>
        <w:widowControl/>
        <w:spacing w:after="30" w:line="240" w:lineRule="auto"/>
      </w:pPr>
      <w:r>
        <w:rPr>
          <w:sz w:val="16"/>
        </w:rPr>
        <w:t>L’utilisateur applicatif PostgreSQL doit lire les résultats mais n’a pas besoin de privilège d’écriture sur les dossiers des candidats. Les paramètres de recherche sont fournis via les paramètres liés psycopg2, non concaténés dans la requête. La connexion impose un délai de deux secondes dans l’implémentation Flask.</w:t>
      </w:r>
    </w:p>
    <w:tbl>
      <w:tblPr>
        <w:tblStyle w:val="TableGrid"/>
        <w:tblW w:type="auto" w:w="0"/>
        <w:tblLayout w:type="autofit"/>
        <w:tblLook w:firstColumn="1" w:firstRow="1" w:lastColumn="0" w:lastRow="0" w:noHBand="0" w:noVBand="1" w:val="04A0"/>
      </w:tblPr>
      <w:tblGrid>
        <w:gridCol w:w="3214"/>
        <w:gridCol w:w="3214"/>
        <w:gridCol w:w="3214"/>
      </w:tblGrid>
      <w:tr>
        <w:trPr>
          <w:tblHeader w:val="true"/>
        </w:trPr>
        <w:tc>
          <w:tcPr>
            <w:tcW w:type="dxa" w:w="3214"/>
            <w:vAlign w:val="center"/>
            <w:tcMar>
              <w:top w:w="100" w:type="dxa"/>
              <w:start w:w="110" w:type="dxa"/>
              <w:bottom w:w="100" w:type="dxa"/>
              <w:end w:w="110" w:type="dxa"/>
            </w:tcMar>
            <w:shd w:fill="16324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color w:val="FFFFFF"/>
                <w:sz w:val="15"/>
              </w:rPr>
              <w:t>Méthode et route</w:t>
            </w:r>
          </w:p>
        </w:tc>
        <w:tc>
          <w:tcPr>
            <w:tcW w:type="dxa" w:w="3214"/>
            <w:vAlign w:val="center"/>
            <w:tcMar>
              <w:top w:w="100" w:type="dxa"/>
              <w:start w:w="110" w:type="dxa"/>
              <w:bottom w:w="100" w:type="dxa"/>
              <w:end w:w="110" w:type="dxa"/>
            </w:tcMar>
            <w:shd w:fill="16324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color w:val="FFFFFF"/>
                <w:sz w:val="15"/>
              </w:rPr>
              <w:t>Fonction</w:t>
            </w:r>
          </w:p>
        </w:tc>
        <w:tc>
          <w:tcPr>
            <w:tcW w:type="dxa" w:w="3214"/>
            <w:vAlign w:val="center"/>
            <w:tcMar>
              <w:top w:w="100" w:type="dxa"/>
              <w:start w:w="110" w:type="dxa"/>
              <w:bottom w:w="100" w:type="dxa"/>
              <w:end w:w="110" w:type="dxa"/>
            </w:tcMar>
            <w:shd w:fill="16324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color w:val="FFFFFF"/>
                <w:sz w:val="15"/>
              </w:rPr>
              <w:t>Réponse attendue</w:t>
            </w:r>
          </w:p>
        </w:tc>
      </w:tr>
      <w:tr>
        <w:tc>
          <w:tcPr>
            <w:tcW w:type="dxa" w:w="3214"/>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GET /sante</w:t>
            </w:r>
          </w:p>
        </w:tc>
        <w:tc>
          <w:tcPr>
            <w:tcW w:type="dxa" w:w="3214"/>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Interroge PostgreSQL avec SELECT 1</w:t>
            </w:r>
          </w:p>
        </w:tc>
        <w:tc>
          <w:tcPr>
            <w:tcW w:type="dxa" w:w="3214"/>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200 si accessible, 503 si inaccessible</w:t>
            </w:r>
          </w:p>
        </w:tc>
      </w:tr>
      <w:tr>
        <w:tc>
          <w:tcPr>
            <w:tcW w:type="dxa" w:w="3214"/>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GET /info</w:t>
            </w:r>
          </w:p>
        </w:tc>
        <w:tc>
          <w:tcPr>
            <w:tcW w:type="dxa" w:w="3214"/>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Identifie le serveur qui a répondu</w:t>
            </w:r>
          </w:p>
        </w:tc>
        <w:tc>
          <w:tcPr>
            <w:tcW w:type="dxa" w:w="3214"/>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200 et hote + service</w:t>
            </w:r>
          </w:p>
        </w:tc>
      </w:tr>
      <w:tr>
        <w:tc>
          <w:tcPr>
            <w:tcW w:type="dxa" w:w="3214"/>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GET /resultat?matricule=…</w:t>
            </w:r>
          </w:p>
        </w:tc>
        <w:tc>
          <w:tcPr>
            <w:tcW w:type="dxa" w:w="3214"/>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Lit une ligne avec paramètre SQL</w:t>
            </w:r>
          </w:p>
        </w:tc>
        <w:tc>
          <w:tcPr>
            <w:tcW w:type="dxa" w:w="3214"/>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200, 400 si absent, 404 si inconnu, 503 si SQL indisponible</w:t>
            </w:r>
          </w:p>
        </w:tc>
      </w:tr>
      <w:tr>
        <w:tc>
          <w:tcPr>
            <w:tcW w:type="dxa" w:w="3214"/>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GET /</w:t>
            </w:r>
          </w:p>
        </w:tc>
        <w:tc>
          <w:tcPr>
            <w:tcW w:type="dxa" w:w="3214"/>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Décrit le service</w:t>
            </w:r>
          </w:p>
        </w:tc>
        <w:tc>
          <w:tcPr>
            <w:tcW w:type="dxa" w:w="3214"/>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200 et index de routes</w:t>
            </w:r>
          </w:p>
        </w:tc>
      </w:tr>
    </w:tbl>
    <w:p>
      <w:pPr>
        <w:spacing w:after="20"/>
      </w:pPr>
    </w:p>
    <w:p>
      <w:pPr>
        <w:widowControl/>
        <w:spacing w:after="30" w:line="240" w:lineRule="auto"/>
      </w:pPr>
      <w:r>
        <w:rPr>
          <w:sz w:val="16"/>
        </w:rPr>
        <w:t>Preuve fonctionnelle relevée : /resultat?matricule=MAT000001 a retourné HTTP 200 avec matricule MAT000001, nom Eleve_000001, série C, moyenne 5,37 et admis=false. La donnée est publiée ici parce qu’il s’agit de la ligne de jeu de test synthétique, non d’une identité réelle.</w:t>
      </w:r>
    </w:p>
    <w:p>
      <w:pPr>
        <w:widowControl/>
        <w:spacing w:after="30" w:line="240" w:lineRule="auto"/>
      </w:pPr>
      <w:r>
        <w:rPr>
          <w:sz w:val="16"/>
        </w:rPr>
        <w:t>La plateforme est conçue sans session métier locale : plusieurs processus applicatifs peuvent répondre et l’état de référence est PostgreSQL. Le schéma n’inclut pas de données personnelles réelles.</w:t>
      </w:r>
    </w:p>
    <w:p>
      <w:r>
        <w:br w:type="page"/>
      </w:r>
    </w:p>
    <w:p>
      <w:pPr>
        <w:pStyle w:val="Heading1"/>
        <w:keepNext/>
      </w:pPr>
      <w:r>
        <w:rPr>
          <w:sz w:val="26"/>
        </w:rPr>
        <w:t>4. PROVISIONNEMENT ET REPRODUCTIBILITÉ</w:t>
      </w:r>
    </w:p>
    <w:p>
      <w:pPr>
        <w:widowControl/>
        <w:spacing w:after="30" w:line="240" w:lineRule="auto"/>
      </w:pPr>
      <w:r>
        <w:rPr>
          <w:sz w:val="16"/>
        </w:rPr>
        <w:t>Vagrant charge .env à l’exécution ; les secrets doivent être remplacés localement et le fichier demeure exclu du dépôt. L’option synchronisée /vagrant rend les scripts, SQL, YAML et application disponibles à l’invité.</w:t>
      </w:r>
    </w:p>
    <w:p>
      <w:pPr>
        <w:widowControl/>
        <w:spacing w:after="30" w:line="240" w:lineRule="auto"/>
      </w:pPr>
      <w:r>
        <w:rPr>
          <w:sz w:val="16"/>
        </w:rPr>
        <w:t>Ordre recommandé :</w:t>
      </w:r>
    </w:p>
    <w:p>
      <w:pPr>
        <w:pStyle w:val="ListNumber"/>
        <w:spacing w:after="40"/>
      </w:pPr>
      <w:r>
        <w:rPr>
          <w:sz w:val="17"/>
        </w:rPr>
        <w:t>bdd1 configure PostgreSQL, rôles, schema.sql et seed.sql ;</w:t>
      </w:r>
    </w:p>
    <w:p>
      <w:pPr>
        <w:pStyle w:val="ListNumber"/>
        <w:spacing w:after="40"/>
      </w:pPr>
      <w:r>
        <w:rPr>
          <w:sz w:val="17"/>
        </w:rPr>
        <w:t>bdd2 attend bdd1, initialise pg_basebackup et active le standby ;</w:t>
      </w:r>
    </w:p>
    <w:p>
      <w:pPr>
        <w:pStyle w:val="ListNumber"/>
        <w:spacing w:after="40"/>
      </w:pPr>
      <w:r>
        <w:rPr>
          <w:sz w:val="17"/>
        </w:rPr>
        <w:t>app1…appN installent Python/venv/dépendances et écrivent leur service systemd, avec N réglé par NB_APP (2 à 4) ;</w:t>
      </w:r>
    </w:p>
    <w:p>
      <w:pPr>
        <w:pStyle w:val="ListNumber"/>
        <w:spacing w:after="40"/>
      </w:pPr>
      <w:r>
        <w:rPr>
          <w:sz w:val="17"/>
        </w:rPr>
        <w:t>lb1 et, si ENABLE_HA=true, lb2 installent HAProxy/Keepalived ;</w:t>
      </w:r>
    </w:p>
    <w:p>
      <w:pPr>
        <w:pStyle w:val="ListNumber"/>
        <w:spacing w:after="40"/>
      </w:pPr>
      <w:r>
        <w:rPr>
          <w:sz w:val="17"/>
        </w:rPr>
        <w:t>obs installe Prometheus, Grafana et leurs configurations si requis.</w:t>
      </w:r>
    </w:p>
    <w:p>
      <w:pPr>
        <w:widowControl/>
        <w:spacing w:after="30" w:line="240" w:lineRule="auto"/>
      </w:pPr>
      <w:r>
        <w:rPr>
          <w:sz w:val="16"/>
        </w:rPr>
        <w:t>Le provisionnement testé sur la machine du groupe utilise N=2 par contrainte de ressources disponibles ; app3/app4 sont configurables en réglant NB_APP à 3 ou 4 sur un hôte disposant de mémoire suffisante. Il s’agit d’un compromis de la campagne, pas d’une réduction de la capacité cible.</w:t>
      </w:r>
    </w:p>
    <w:p>
      <w:pPr>
        <w:widowControl/>
        <w:spacing w:after="30" w:line="240" w:lineRule="auto"/>
      </w:pPr>
      <w:r>
        <w:rPr>
          <w:sz w:val="16"/>
        </w:rPr>
        <w:t>Commandes types depuis PowerShell, après préparation d’un fichier .env local :</w:t>
      </w:r>
    </w:p>
    <w:p>
      <w:pPr>
        <w:keepLines/>
        <w:spacing w:before="40" w:after="80"/>
        <w:ind w:left="198" w:right="113"/>
        <w:shd w:fill="F2F5F9"/>
      </w:pPr>
      <w:r>
        <w:rPr>
          <w:rFonts w:ascii="Cascadia Code" w:hAnsi="Cascadia Code"/>
          <w:color w:val="263448"/>
          <w:sz w:val="16"/>
        </w:rPr>
        <w:t>vagrant validate</w:t>
        <w:br/>
      </w:r>
      <w:r>
        <w:rPr>
          <w:rFonts w:ascii="Cascadia Code" w:hAnsi="Cascadia Code"/>
          <w:color w:val="263448"/>
          <w:sz w:val="16"/>
        </w:rPr>
        <w:t>vagrant up bdd1</w:t>
        <w:br/>
      </w:r>
      <w:r>
        <w:rPr>
          <w:rFonts w:ascii="Cascadia Code" w:hAnsi="Cascadia Code"/>
          <w:color w:val="263448"/>
          <w:sz w:val="16"/>
        </w:rPr>
        <w:t>vagrant up bdd2</w:t>
        <w:br/>
      </w:r>
      <w:r>
        <w:rPr>
          <w:rFonts w:ascii="Cascadia Code" w:hAnsi="Cascadia Code"/>
          <w:color w:val="263448"/>
          <w:sz w:val="16"/>
        </w:rPr>
        <w:t># Dans .env, NB_APP=2 : profil de mesure sur le poste du groupe</w:t>
        <w:br/>
      </w:r>
      <w:r>
        <w:rPr>
          <w:rFonts w:ascii="Cascadia Code" w:hAnsi="Cascadia Code"/>
          <w:color w:val="263448"/>
          <w:sz w:val="16"/>
        </w:rPr>
        <w:t>vagrant up app1 app2</w:t>
        <w:br/>
      </w:r>
      <w:r>
        <w:rPr>
          <w:rFonts w:ascii="Cascadia Code" w:hAnsi="Cascadia Code"/>
          <w:color w:val="263448"/>
          <w:sz w:val="16"/>
        </w:rPr>
        <w:t>vagrant up lb1 lb2</w:t>
        <w:br/>
      </w:r>
      <w:r>
        <w:rPr>
          <w:rFonts w:ascii="Cascadia Code" w:hAnsi="Cascadia Code"/>
          <w:color w:val="263448"/>
          <w:sz w:val="16"/>
        </w:rPr>
        <w:t>vagrant up obs</w:t>
        <w:br/>
      </w:r>
      <w:r>
        <w:rPr>
          <w:rFonts w:ascii="Cascadia Code" w:hAnsi="Cascadia Code"/>
          <w:color w:val="263448"/>
          <w:sz w:val="16"/>
        </w:rPr>
        <w:t xml:space="preserve"> </w:t>
      </w:r>
    </w:p>
    <w:p>
      <w:pPr>
        <w:widowControl/>
        <w:spacing w:after="30" w:line="240" w:lineRule="auto"/>
      </w:pPr>
      <w:r>
        <w:rPr>
          <w:sz w:val="16"/>
        </w:rPr>
        <w:t xml:space="preserve">Sur un hôte plus puissant, régler </w:t>
      </w:r>
      <w:r>
        <w:rPr>
          <w:rFonts w:ascii="Cascadia Code" w:hAnsi="Cascadia Code"/>
          <w:color w:val="175CD3"/>
          <w:sz w:val="14"/>
        </w:rPr>
        <w:t>NB_APP=4</w:t>
      </w:r>
      <w:r>
        <w:rPr>
          <w:sz w:val="16"/>
        </w:rPr>
        <w:t xml:space="preserve"> dans </w:t>
      </w:r>
      <w:r>
        <w:rPr>
          <w:rFonts w:ascii="Cascadia Code" w:hAnsi="Cascadia Code"/>
          <w:color w:val="175CD3"/>
          <w:sz w:val="14"/>
        </w:rPr>
        <w:t>.env</w:t>
      </w:r>
      <w:r>
        <w:rPr>
          <w:sz w:val="16"/>
        </w:rPr>
        <w:t xml:space="preserve">, puis démarrer </w:t>
      </w:r>
      <w:r>
        <w:rPr>
          <w:rFonts w:ascii="Cascadia Code" w:hAnsi="Cascadia Code"/>
          <w:color w:val="175CD3"/>
          <w:sz w:val="14"/>
        </w:rPr>
        <w:t>app1 app2 app3 app4</w:t>
      </w:r>
      <w:r>
        <w:rPr>
          <w:sz w:val="16"/>
        </w:rPr>
        <w:t xml:space="preserve"> avant les répartiteurs.</w:t>
      </w:r>
    </w:p>
    <w:p>
      <w:pPr>
        <w:widowControl/>
        <w:spacing w:after="30" w:line="240" w:lineRule="auto"/>
      </w:pPr>
      <w:r>
        <w:rPr>
          <w:sz w:val="16"/>
        </w:rPr>
        <w:t xml:space="preserve">La reconstruction complète </w:t>
      </w:r>
      <w:r>
        <w:rPr>
          <w:rFonts w:ascii="Cascadia Code" w:hAnsi="Cascadia Code"/>
          <w:color w:val="175CD3"/>
          <w:sz w:val="14"/>
        </w:rPr>
        <w:t>vagrant destroy -f</w:t>
      </w:r>
      <w:r>
        <w:rPr>
          <w:sz w:val="16"/>
        </w:rPr>
        <w:t xml:space="preserve"> est destructive pour les VMs et leurs données locales ; elle est uniquement recommandée comme test contrôlé avec sauvegarde et accord de l’équipe. La présente validation n’a pas détruit ni recréé les machines.</w:t>
      </w:r>
    </w:p>
    <w:p>
      <w:pPr>
        <w:widowControl/>
        <w:spacing w:after="30" w:line="240" w:lineRule="auto"/>
      </w:pPr>
      <w:r>
        <w:rPr>
          <w:sz w:val="16"/>
        </w:rPr>
        <w:t xml:space="preserve">Le fichier setup-app.sh installe les paquets et dépendances, déploie le module, crée un env-file à permission 600, démarre </w:t>
      </w:r>
      <w:r>
        <w:rPr>
          <w:rFonts w:ascii="Cascadia Code" w:hAnsi="Cascadia Code"/>
          <w:color w:val="175CD3"/>
          <w:sz w:val="14"/>
        </w:rPr>
        <w:t>resultats-api</w:t>
      </w:r>
      <w:r>
        <w:rPr>
          <w:sz w:val="16"/>
        </w:rPr>
        <w:t xml:space="preserve"> et vérifie /info pendant un délai borné. Le test de lancement ne requiert pas PostgreSQL car /info est autonome ; la sonde /sante vérifie ensuite la connexion.</w:t>
      </w:r>
    </w:p>
    <w:p>
      <w:pPr>
        <w:widowControl/>
        <w:spacing w:after="30" w:line="240" w:lineRule="auto"/>
      </w:pPr>
      <w:r>
        <w:rPr>
          <w:sz w:val="16"/>
        </w:rPr>
        <w:t xml:space="preserve">Validation de syntaxe observée : </w:t>
      </w:r>
      <w:r>
        <w:rPr>
          <w:rFonts w:ascii="Cascadia Code" w:hAnsi="Cascadia Code"/>
          <w:color w:val="175CD3"/>
          <w:sz w:val="14"/>
        </w:rPr>
        <w:t>vagrant validate</w:t>
      </w:r>
      <w:r>
        <w:rPr>
          <w:sz w:val="16"/>
        </w:rPr>
        <w:t xml:space="preserve"> a renvoyé « Vagrantfile validated successfully. »</w:t>
      </w:r>
    </w:p>
    <w:p>
      <w:pPr>
        <w:pStyle w:val="Heading1"/>
        <w:keepNext/>
      </w:pPr>
      <w:r>
        <w:rPr>
          <w:sz w:val="26"/>
        </w:rPr>
        <w:t>4.2 IDEMPOTENCE ET GESTION DES CONFIGURATIONS</w:t>
      </w:r>
    </w:p>
    <w:p>
      <w:pPr>
        <w:widowControl/>
        <w:spacing w:after="30" w:line="240" w:lineRule="auto"/>
      </w:pPr>
      <w:r>
        <w:rPr>
          <w:sz w:val="16"/>
        </w:rPr>
        <w:t>L’idempotence recherchée signifie que rejouer un provisionnement ne doit pas accumuler de règles ni provoquer d’échec pour un service déjà installé. Les scripts reconstruisent certains fichiers de configuration et activent les services systemd.</w:t>
      </w:r>
    </w:p>
    <w:p>
      <w:pPr>
        <w:widowControl/>
        <w:spacing w:after="30" w:line="240" w:lineRule="auto"/>
      </w:pPr>
      <w:r>
        <w:rPr>
          <w:sz w:val="16"/>
        </w:rPr>
        <w:t xml:space="preserve">Contrôle actuel : la liste de VMs déclarées et les services indiqués en état running sont observés. En revanche, nous n’avons pas effectué dans cette passe un double </w:t>
      </w:r>
      <w:r>
        <w:rPr>
          <w:rFonts w:ascii="Cascadia Code" w:hAnsi="Cascadia Code"/>
          <w:color w:val="175CD3"/>
          <w:sz w:val="14"/>
        </w:rPr>
        <w:t>vagrant provision</w:t>
      </w:r>
      <w:r>
        <w:rPr>
          <w:sz w:val="16"/>
        </w:rPr>
        <w:t xml:space="preserve"> successif avec calcul de sommes avant/après ; R2 est donc conçu par les scripts mais n’est pas re-mesuré ici.</w:t>
      </w:r>
    </w:p>
    <w:p>
      <w:pPr>
        <w:widowControl/>
        <w:spacing w:after="30" w:line="240" w:lineRule="auto"/>
      </w:pPr>
      <w:r>
        <w:rPr>
          <w:sz w:val="16"/>
        </w:rPr>
        <w:t>Point d’attention opérationnel : plusieurs scripts Debian installent des paquets par apt, et les scripts d’initialisation des bases diffèrent dans leur stratégie. Avant qualification, exécuter les scripts deux fois et comparer les versions/permissions/hash des fichiers réellement gérés.</w:t>
      </w:r>
    </w:p>
    <w:p>
      <w:pPr>
        <w:widowControl/>
        <w:spacing w:after="30" w:line="240" w:lineRule="auto"/>
      </w:pPr>
      <w:r>
        <w:rPr>
          <w:sz w:val="16"/>
        </w:rPr>
        <w:t>Déploiement applicatif : le script de provisionnement remet le code en place puis redémarre systemd. Le test de santé après le redémarrage est un test de readiness HTTP, pas un test de démarrage parfait de l’ensemble du parc.</w:t>
      </w:r>
    </w:p>
    <w:p>
      <w:pPr>
        <w:widowControl/>
        <w:spacing w:after="30" w:line="240" w:lineRule="auto"/>
      </w:pPr>
      <w:r>
        <w:rPr>
          <w:sz w:val="16"/>
        </w:rPr>
        <w:t>Recommandation de contrôle : inventorier chaque fichier géré par script, écrire dans un fichier temporaire, ne remplacer la cible que si le contenu change, puis redémarrer le service uniquement sur changement (cas déjà appliqué à plusieurs réglages PostgreSQL dans l’ancienne variante bdd.sh). Documenter la variante réellement exécutée avant fusion.</w:t>
      </w:r>
    </w:p>
    <w:p>
      <w:pPr>
        <w:pStyle w:val="Heading1"/>
        <w:keepNext/>
      </w:pPr>
      <w:r>
        <w:rPr>
          <w:sz w:val="26"/>
        </w:rPr>
        <w:t>5. RÉPARTITION DE CHARGE ET RÉSULTATS</w:t>
      </w:r>
    </w:p>
    <w:p>
      <w:pPr>
        <w:widowControl/>
        <w:spacing w:after="30" w:line="240" w:lineRule="auto"/>
      </w:pPr>
      <w:r>
        <w:rPr>
          <w:sz w:val="16"/>
        </w:rPr>
        <w:t xml:space="preserve">Mesure fraîche (poste Windows, 27/10/2026) : 200 appels séquentiels GET /info à </w:t>
      </w:r>
      <w:r>
        <w:rPr>
          <w:rFonts w:ascii="Cascadia Code" w:hAnsi="Cascadia Code"/>
          <w:color w:val="175CD3"/>
          <w:sz w:val="14"/>
        </w:rPr>
        <w:t>http://127.0.0.1:8080</w:t>
      </w:r>
      <w:r>
        <w:rPr>
          <w:sz w:val="16"/>
        </w:rPr>
        <w:t>. Chronomètre global : 2 331 ms ; réponses : app1=100, app2=100 ; erreurs réseau=0 ; débit calculé : 200 / 2,331 = 85,8 requêtes/s. Écart = 100 × (100−100)/200 = 0 % si le critère compare l’écart absolu au volume total. La grille v1_repartition.py calcule plutôt (max−min)/N ; sur l’échantillon pair à 200 et 2 serveurs cette valeur est 0, mais sur l’historique ancien elle vaut 191/385=49,6 %. Résultat : l’essai exact de 20 appels visé par le sujet n’a pas été retesté ; 200 appels équitablement distribués ont été mesurés sur deux des quatre serveurs applicatifs configurables. Cela prouve la répartition sur la configuration disponible, pas les performances à quatre nœuds.</w:t>
      </w:r>
    </w:p>
    <w:p>
      <w:pPr>
        <w:widowControl/>
        <w:spacing w:after="30" w:line="240" w:lineRule="auto"/>
      </w:pPr>
      <w:r>
        <w:rPr>
          <w:sz w:val="16"/>
        </w:rPr>
        <w:t>Ce débit porte sur /info, réponse légère n’interrogeant pas la base, sur une série séquentielle, et n’est pas comparable à une campagne ApacheBench concurrente. Aucun résultat ne doit être extrapolé à des dizaines de milliers de clients.</w:t>
      </w:r>
    </w:p>
    <w:p>
      <w:pPr>
        <w:widowControl/>
        <w:spacing w:after="30" w:line="240" w:lineRule="auto"/>
      </w:pPr>
      <w:r>
        <w:rPr>
          <w:sz w:val="16"/>
        </w:rPr>
        <w:t xml:space="preserve">Historique fourni avec le dépôt : </w:t>
      </w:r>
      <w:r>
        <w:rPr>
          <w:rFonts w:ascii="Cascadia Code" w:hAnsi="Cascadia Code"/>
          <w:color w:val="175CD3"/>
          <w:sz w:val="14"/>
        </w:rPr>
        <w:t>tests/resultats/v2-20261027-195118.csv</w:t>
      </w:r>
      <w:r>
        <w:rPr>
          <w:sz w:val="16"/>
        </w:rPr>
        <w:t xml:space="preserve"> contient un scénario V2 précédent, apparemment étalé sur environ 60 secondes. Le parseur CSV retrouve 387 enregistrements ; 385 réponses possèdent un code HTTP 200 et un JSON lisible, dont app1=97 et app2=288. Deux lignes ne contiennent pas de JSON complet (à t=29,72 s sans réponse et à t=32,01 s HTTP 502). Sur les 385 enregistrements interprétables : 6,42 réponses/s environ et écart de répartitions 49,6 % du total. Ce fichier n’est PAS un benchmark « propre sans erreur » et il ne satisfait pas le seuil d’équilibrage 20 %. Il est conservé comme trace du comportement dégradé historique, pas comme résultat actuel.</w:t>
      </w:r>
    </w:p>
    <w:p>
      <w:pPr>
        <w:widowControl/>
        <w:spacing w:after="30" w:line="240" w:lineRule="auto"/>
      </w:pPr>
      <w:r>
        <w:rPr>
          <w:sz w:val="16"/>
        </w:rPr>
        <w:t>La métrique officielle Prometheus/HAProxy donne des compteurs cumulatifs ; pour un débit, utiliser la variation rate(...[1m]) après génération de trafic, non le compteur brut. Aucun gain de débit à quatre serveurs n’est affirmé : il reste à le mesurer sur un hôte avec les ressources adaptées.</w:t>
      </w:r>
    </w:p>
    <w:p>
      <w:r>
        <w:br w:type="page"/>
      </w:r>
    </w:p>
    <w:p>
      <w:pPr>
        <w:pStyle w:val="Heading1"/>
        <w:keepNext/>
      </w:pPr>
      <w:r>
        <w:rPr>
          <w:sz w:val="26"/>
        </w:rPr>
        <w:t>6. RÉPLICATION POSTGRESQL ET STRATÉGIE DE REPRISE</w:t>
      </w:r>
    </w:p>
    <w:p>
      <w:pPr>
        <w:widowControl/>
        <w:spacing w:after="30" w:line="240" w:lineRule="auto"/>
      </w:pPr>
      <w:r>
        <w:rPr>
          <w:sz w:val="16"/>
        </w:rPr>
        <w:t xml:space="preserve">bdd1 héberge la base primaire. Les écritures WAL sont transmises à bdd2 par réplication physique PostgreSQL. La vérification en lecture seule montre </w:t>
      </w:r>
      <w:r>
        <w:rPr>
          <w:rFonts w:ascii="Cascadia Code" w:hAnsi="Cascadia Code"/>
          <w:color w:val="175CD3"/>
          <w:sz w:val="14"/>
        </w:rPr>
        <w:t>pg_stat_replication.state=streaming</w:t>
      </w:r>
      <w:r>
        <w:rPr>
          <w:sz w:val="16"/>
        </w:rPr>
        <w:t xml:space="preserve"> ; le LSN transmis et rejoué était identique à l’instant de capture. Chaque instance détenait 50 000 lignes au moment du contrôle.</w:t>
      </w:r>
    </w:p>
    <w:p>
      <w:pPr>
        <w:widowControl/>
        <w:spacing w:after="30" w:line="240" w:lineRule="auto"/>
      </w:pPr>
      <w:r>
        <w:rPr>
          <w:sz w:val="16"/>
        </w:rPr>
        <w:t xml:space="preserve">Le standby reste en lecture seule jusqu’à promotion. </w:t>
      </w:r>
      <w:r>
        <w:rPr>
          <w:rFonts w:ascii="Cascadia Code" w:hAnsi="Cascadia Code"/>
          <w:color w:val="175CD3"/>
          <w:sz w:val="14"/>
        </w:rPr>
        <w:t>scripts/failover-db.sh</w:t>
      </w:r>
      <w:r>
        <w:rPr>
          <w:sz w:val="16"/>
        </w:rPr>
        <w:t xml:space="preserve"> demande explicitement la chaîne </w:t>
      </w:r>
      <w:r>
        <w:rPr>
          <w:rFonts w:ascii="Cascadia Code" w:hAnsi="Cascadia Code"/>
          <w:color w:val="175CD3"/>
          <w:sz w:val="14"/>
        </w:rPr>
        <w:t>PROMOUVOIR-BDD2</w:t>
      </w:r>
      <w:r>
        <w:rPr>
          <w:sz w:val="16"/>
        </w:rPr>
        <w:t xml:space="preserve">, contrôle que PostgreSQL est en récupération, lance </w:t>
      </w:r>
      <w:r>
        <w:rPr>
          <w:rFonts w:ascii="Cascadia Code" w:hAnsi="Cascadia Code"/>
          <w:color w:val="175CD3"/>
          <w:sz w:val="14"/>
        </w:rPr>
        <w:t>pg_promote()</w:t>
      </w:r>
      <w:r>
        <w:rPr>
          <w:sz w:val="16"/>
        </w:rPr>
        <w:t xml:space="preserve"> et attend au plus 30 secondes la sortie du mode récupération. L’opération n’a pas été déclenchée pendant la présente campagne afin de préserver l’environnement.</w:t>
      </w:r>
    </w:p>
    <w:p>
      <w:pPr>
        <w:widowControl/>
        <w:spacing w:after="30" w:line="240" w:lineRule="auto"/>
      </w:pPr>
      <w:r>
        <w:rPr>
          <w:sz w:val="16"/>
        </w:rPr>
        <w:t xml:space="preserve">Limites connues : la promotion est manuelle, aucune orchestration automatique du retour primaire n’est présente, et les applications ont besoin que </w:t>
      </w:r>
      <w:r>
        <w:rPr>
          <w:rFonts w:ascii="Cascadia Code" w:hAnsi="Cascadia Code"/>
          <w:color w:val="175CD3"/>
          <w:sz w:val="14"/>
        </w:rPr>
        <w:t>DB_HOST</w:t>
      </w:r>
      <w:r>
        <w:rPr>
          <w:sz w:val="16"/>
        </w:rPr>
        <w:t xml:space="preserve"> soit redirigé vers le nouveau primaire. Il est impératif de vérifier quelle copie possède le WAL le plus récent avant promotion, de protéger la bascule contre les doubles primaires et d’écrire la procédure de retour/seed-back avant un déploiement de production.</w:t>
      </w:r>
    </w:p>
    <w:p>
      <w:pPr>
        <w:widowControl/>
        <w:spacing w:after="30" w:line="240" w:lineRule="auto"/>
      </w:pPr>
      <w:r>
        <w:rPr>
          <w:sz w:val="16"/>
        </w:rPr>
        <w:t>Résultat vérifié : réplica en récupération et nombre de lignes identique. Résultat non vérifié : temps de bascule, perte de transactions en cours et reprise automatique de l’API après bascule.</w:t>
      </w:r>
    </w:p>
    <w:p>
      <w:r>
        <w:br w:type="page"/>
      </w:r>
    </w:p>
    <w:p>
      <w:pPr>
        <w:pStyle w:val="Heading1"/>
        <w:keepNext/>
      </w:pPr>
      <w:r>
        <w:rPr>
          <w:sz w:val="26"/>
        </w:rPr>
        <w:t>7. HAUTE DISPONIBILITÉ DES RÉPARTITEURS</w:t>
      </w:r>
    </w:p>
    <w:p>
      <w:pPr>
        <w:widowControl/>
        <w:spacing w:after="30" w:line="240" w:lineRule="auto"/>
      </w:pPr>
      <w:r>
        <w:rPr>
          <w:sz w:val="16"/>
        </w:rPr>
        <w:t>lb1 et lb2 exécutent HAProxy et Keepalived. L’instance VRRP de lb1 a la priorité 110 ; celle de lb2 100. Keepalived supervise le processus HAProxy et partage une adresse virtuelle 192.168.63.10. Lorsqu’un maître devient indisponible, l’objectif est de transférer la VIP au pair et de continuer à router le trafic HTTP.</w:t>
      </w:r>
    </w:p>
    <w:p>
      <w:pPr>
        <w:widowControl/>
        <w:spacing w:after="30" w:line="240" w:lineRule="auto"/>
      </w:pPr>
      <w:r>
        <w:rPr>
          <w:sz w:val="16"/>
        </w:rPr>
        <w:t>Constat non perturbateur : la VIP 192.168.63.10 est présente sur l’interface privée d’un répartiteur au moment du relevé. L’URL de la VIP a répondu HTTP 200 à /info et /sante.</w:t>
      </w:r>
    </w:p>
    <w:p>
      <w:pPr>
        <w:widowControl/>
        <w:spacing w:after="30" w:line="240" w:lineRule="auto"/>
      </w:pPr>
      <w:r>
        <w:rPr>
          <w:sz w:val="16"/>
        </w:rPr>
        <w:t xml:space="preserve">La vérification précédente n’a pas arrêté lb1 et ne mesure donc pas le délai de failover. Pour prouver E1/V6, prévoir une fenêtre contrôlée, envoyer des sondes horodatées en boucle, exécuter </w:t>
      </w:r>
      <w:r>
        <w:rPr>
          <w:rFonts w:ascii="Cascadia Code" w:hAnsi="Cascadia Code"/>
          <w:color w:val="175CD3"/>
          <w:sz w:val="14"/>
        </w:rPr>
        <w:t>vagrant halt lb1</w:t>
      </w:r>
      <w:r>
        <w:rPr>
          <w:sz w:val="16"/>
        </w:rPr>
        <w:t>, constater l’adresse VIP sur lb2, relever le premier HTTP 200 sans interruption et redémarrer lb1. Récupérer ensuite la VIP sur son état préféré uniquement si la configuration/stratégie le prévoit.</w:t>
      </w:r>
    </w:p>
    <w:p>
      <w:pPr>
        <w:widowControl/>
        <w:spacing w:after="30" w:line="240" w:lineRule="auto"/>
      </w:pPr>
      <w:r>
        <w:rPr>
          <w:sz w:val="16"/>
        </w:rPr>
        <w:t>Le port 8080 redirige l’hôte directement vers lb1 et peut devenir inaccessible en cas d’arrêt de lb1. Pendant le test de bascule, utiliser l’adresse VIP, depuis une machine réellement connectée au réseau hôte-seul.</w:t>
      </w:r>
    </w:p>
    <w:p>
      <w:r>
        <w:br w:type="page"/>
      </w:r>
    </w:p>
    <w:p>
      <w:pPr>
        <w:pStyle w:val="Heading1"/>
        <w:keepNext/>
      </w:pPr>
      <w:r>
        <w:rPr>
          <w:sz w:val="26"/>
        </w:rPr>
        <w:t>8. SUPERVISION ET OBSERVABILITÉ</w:t>
      </w:r>
    </w:p>
    <w:p>
      <w:pPr>
        <w:widowControl/>
        <w:spacing w:after="30" w:line="240" w:lineRule="auto"/>
      </w:pPr>
      <w:r>
        <w:rPr>
          <w:sz w:val="16"/>
        </w:rPr>
        <w:t>La VM obs héberge Prometheus et Grafana. Prometheus collecte ses propres métriques, les Node Exporter et l’endpoint HAProxy de lb1/lb2 à intervalles de 15 secondes. Le tableau Grafana du dépôt porte les vues de débit applicatif, état de backends, CPU, mémoire et disponibilité des scrapes.</w:t>
      </w:r>
    </w:p>
    <w:p>
      <w:pPr>
        <w:widowControl/>
        <w:spacing w:after="30" w:line="240" w:lineRule="auto"/>
      </w:pPr>
      <w:r>
        <w:rPr>
          <w:sz w:val="16"/>
        </w:rPr>
        <w:t xml:space="preserve">Le script </w:t>
      </w:r>
      <w:r>
        <w:rPr>
          <w:rFonts w:ascii="Cascadia Code" w:hAnsi="Cascadia Code"/>
          <w:color w:val="175CD3"/>
          <w:sz w:val="14"/>
        </w:rPr>
        <w:t>scripts/setup-observability.sh</w:t>
      </w:r>
      <w:r>
        <w:rPr>
          <w:sz w:val="16"/>
        </w:rPr>
        <w:t xml:space="preserve"> configure neuf cibles Node Exporter (bdd1, bdd2, app1–app4, lb1, lb2 et obs), deux endpoints HAProxy et Prometheus lui-même. Au relevé du 27/10/2026, Prometheus présentait 12 cibles actives : 10 « up » et 2 « down ». Les indisponibles étaient 192.168.63.23:9100 et 192.168.63.24:9100 (« no route to host »), correspondant à app3/app4, nœuds prévus pour la capacité cible à quatre applications, mais volontairement non démarrés dans cette exécution limitée à </w:t>
      </w:r>
      <w:r>
        <w:rPr>
          <w:rFonts w:ascii="Cascadia Code" w:hAnsi="Cascadia Code"/>
          <w:color w:val="175CD3"/>
          <w:sz w:val="14"/>
        </w:rPr>
        <w:t>NB_APP=2</w:t>
      </w:r>
      <w:r>
        <w:rPr>
          <w:sz w:val="16"/>
        </w:rPr>
        <w:t xml:space="preserve"> pour tenir compte des ressources du poste. Les 10 cibles joignables sont cohérentes avec sept Node Exporter joignables, les deux répartiteurs et Prometheus local. Ces deux états down ne signifient donc pas que le projet est limité à deux serveurs ; ils reflètent le dimensionnement choisi pour la campagne. Pour éviter les alertes prévisibles, la liste statique de cibles peut être générée selon NB_APP.</w:t>
      </w:r>
    </w:p>
    <w:p>
      <w:pPr>
        <w:widowControl/>
        <w:spacing w:after="30" w:line="240" w:lineRule="auto"/>
      </w:pPr>
      <w:r>
        <w:rPr>
          <w:sz w:val="16"/>
        </w:rPr>
        <w:t>Grafana API health a répondu database=ok, version=13.2.4. La consultation anonyme d’API search a reçu HTTP 401 ; l’écran / renvoie toutefois le document Grafana. Ce contrôle de santé prouve que le processus sert son endpoint health, mais ne prouve pas la lisibilité des panneaux avec une session utilisateur. Le tableau de bord reste à vérifier avec les identifiants fournis localement.</w:t>
      </w:r>
    </w:p>
    <w:p>
      <w:pPr>
        <w:widowControl/>
        <w:spacing w:after="30" w:line="240" w:lineRule="auto"/>
      </w:pPr>
      <w:r>
        <w:rPr>
          <w:sz w:val="16"/>
        </w:rPr>
        <w:t>Au relevé Prometheus, obs avait RAM totale d’environ 961,7 MiB et load average à une minute de 0,06. Ce sont des instantanés non représentatifs d’une campagne de saturation.</w:t>
      </w:r>
    </w:p>
    <w:p>
      <w:r>
        <w:br w:type="page"/>
      </w:r>
    </w:p>
    <w:p>
      <w:pPr>
        <w:pStyle w:val="Heading1"/>
        <w:keepNext/>
      </w:pPr>
      <w:r>
        <w:rPr>
          <w:sz w:val="26"/>
        </w:rPr>
        <w:t>9. VALIDATION V1–V6 ET BILAN DES PREUVES</w:t>
      </w:r>
    </w:p>
    <w:tbl>
      <w:tblPr>
        <w:tblStyle w:val="TableGrid"/>
        <w:tblW w:type="auto" w:w="0"/>
        <w:tblLayout w:type="autofit"/>
        <w:tblLook w:firstColumn="1" w:firstRow="1" w:lastColumn="0" w:lastRow="0" w:noHBand="0" w:noVBand="1" w:val="04A0"/>
      </w:tblPr>
      <w:tblGrid>
        <w:gridCol w:w="2410"/>
        <w:gridCol w:w="2410"/>
        <w:gridCol w:w="2410"/>
        <w:gridCol w:w="2410"/>
      </w:tblGrid>
      <w:tr>
        <w:trPr>
          <w:tblHeader w:val="true"/>
        </w:trPr>
        <w:tc>
          <w:tcPr>
            <w:tcW w:type="dxa" w:w="2410"/>
            <w:vAlign w:val="center"/>
            <w:tcMar>
              <w:top w:w="100" w:type="dxa"/>
              <w:start w:w="110" w:type="dxa"/>
              <w:bottom w:w="100" w:type="dxa"/>
              <w:end w:w="110" w:type="dxa"/>
            </w:tcMar>
            <w:shd w:fill="16324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color w:val="FFFFFF"/>
                <w:sz w:val="15"/>
              </w:rPr>
              <w:t>ID</w:t>
            </w:r>
          </w:p>
        </w:tc>
        <w:tc>
          <w:tcPr>
            <w:tcW w:type="dxa" w:w="2410"/>
            <w:vAlign w:val="center"/>
            <w:tcMar>
              <w:top w:w="100" w:type="dxa"/>
              <w:start w:w="110" w:type="dxa"/>
              <w:bottom w:w="100" w:type="dxa"/>
              <w:end w:w="110" w:type="dxa"/>
            </w:tcMar>
            <w:shd w:fill="16324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color w:val="FFFFFF"/>
                <w:sz w:val="15"/>
              </w:rPr>
              <w:t>Scénario / critère du sujet</w:t>
            </w:r>
          </w:p>
        </w:tc>
        <w:tc>
          <w:tcPr>
            <w:tcW w:type="dxa" w:w="2410"/>
            <w:vAlign w:val="center"/>
            <w:tcMar>
              <w:top w:w="100" w:type="dxa"/>
              <w:start w:w="110" w:type="dxa"/>
              <w:bottom w:w="100" w:type="dxa"/>
              <w:end w:w="110" w:type="dxa"/>
            </w:tcMar>
            <w:shd w:fill="16324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color w:val="FFFFFF"/>
                <w:sz w:val="15"/>
              </w:rPr>
              <w:t>Preuve disponible</w:t>
            </w:r>
          </w:p>
        </w:tc>
        <w:tc>
          <w:tcPr>
            <w:tcW w:type="dxa" w:w="2410"/>
            <w:vAlign w:val="center"/>
            <w:tcMar>
              <w:top w:w="100" w:type="dxa"/>
              <w:start w:w="110" w:type="dxa"/>
              <w:bottom w:w="100" w:type="dxa"/>
              <w:end w:w="110" w:type="dxa"/>
            </w:tcMar>
            <w:shd w:fill="16324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color w:val="FFFFFF"/>
                <w:sz w:val="15"/>
              </w:rPr>
              <w:t>Statut responsable</w:t>
            </w:r>
          </w:p>
        </w:tc>
      </w:tr>
      <w:tr>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V1</w:t>
            </w:r>
          </w:p>
        </w:tc>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20 appels /info ; équilibre &lt;20 %</w:t>
            </w:r>
          </w:p>
        </w:tc>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Mesure nouvelle à 200 requêtes : 2 nœuds, 100/100, 0 erreur, écart 0 %</w:t>
            </w:r>
          </w:p>
        </w:tc>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Validé sur échantillon 200, pas 20</w:t>
            </w:r>
          </w:p>
        </w:tc>
      </w:tr>
      <w:tr>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V2</w:t>
            </w:r>
          </w:p>
        </w:tc>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Arrêt app1 sous charge ; dégradation &lt;5 s</w:t>
            </w:r>
          </w:p>
        </w:tc>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Trace CSV historique : 387 lignes, 2 échecs, dont HTTP 502 ; la baisse de répartition commence vers 29,72 s et les 200 réapparaissent vers 32,33 s</w:t>
            </w:r>
          </w:p>
        </w:tc>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Partiel ; CSV suggère une perturbation d’environ 2,6 s, mais ne consigne pas la commande d’arrêt, le retour HTTP brut ni l’heure de reprise. Il ne certifie donc pas le délai de panne</w:t>
            </w:r>
          </w:p>
        </w:tc>
      </w:tr>
      <w:tr>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V3</w:t>
            </w:r>
          </w:p>
        </w:tc>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`ab -n 2000 -c 50`, comparer NB_APP=2 puis 4</w:t>
            </w:r>
          </w:p>
        </w:tc>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200 requêtes séquentielles mesurées à NB_APP=2 ; pas de campagne concurrente comparative 2/4</w:t>
            </w:r>
          </w:p>
        </w:tc>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Partiel ; refaire sur un hôte avec mémoire suffisante pour 4 applications</w:t>
            </w:r>
          </w:p>
        </w:tc>
      </w:tr>
      <w:tr>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V4</w:t>
            </w:r>
          </w:p>
        </w:tc>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arrêt bdd1, bascule sur bdd2, mesurer durée</w:t>
            </w:r>
          </w:p>
        </w:tc>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Réplica streaming contrôlé ; failover non déclenché</w:t>
            </w:r>
          </w:p>
        </w:tc>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Non testé, opération destructive</w:t>
            </w:r>
          </w:p>
        </w:tc>
      </w:tr>
      <w:tr>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V5</w:t>
            </w:r>
          </w:p>
        </w:tc>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destroy puis up sur poste vierge</w:t>
            </w:r>
          </w:p>
        </w:tc>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`vagrant validate` et parc actuel running</w:t>
            </w:r>
          </w:p>
        </w:tc>
        <w:tc>
          <w:tcPr>
            <w:tcW w:type="dxa" w:w="2410"/>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Non validé ; aucune destruction exécutée</w:t>
            </w:r>
          </w:p>
        </w:tc>
      </w:tr>
      <w:tr>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V6/E1</w:t>
            </w:r>
          </w:p>
        </w:tc>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arrêter lb1, conserver l’accès VIP</w:t>
            </w:r>
          </w:p>
        </w:tc>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VIP observée présente et répond avant arrêt</w:t>
            </w:r>
          </w:p>
        </w:tc>
        <w:tc>
          <w:tcPr>
            <w:tcW w:type="dxa" w:w="2410"/>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Non testé après panne</w:t>
            </w:r>
          </w:p>
        </w:tc>
      </w:tr>
    </w:tbl>
    <w:p>
      <w:pPr>
        <w:spacing w:after="20"/>
      </w:pPr>
    </w:p>
    <w:p>
      <w:pPr>
        <w:widowControl/>
        <w:spacing w:after="30" w:line="240" w:lineRule="auto"/>
      </w:pPr>
      <w:r>
        <w:rPr>
          <w:sz w:val="16"/>
        </w:rPr>
        <w:t>Les cases « à exécuter » sont des actions réservées à une fenêtre de test, sauvegardes et autorisation de l’équipe. La présence du script d’essai n’équivaut pas à un verdict positif.</w:t>
      </w:r>
    </w:p>
    <w:p>
      <w:r>
        <w:br w:type="page"/>
      </w:r>
    </w:p>
    <w:p>
      <w:pPr>
        <w:pStyle w:val="Heading1"/>
        <w:keepNext/>
      </w:pPr>
      <w:r>
        <w:rPr>
          <w:sz w:val="26"/>
        </w:rPr>
        <w:t>9.2 SÉCURITÉ, RISQUES ET LIMITES</w:t>
      </w:r>
    </w:p>
    <w:p>
      <w:pPr>
        <w:pStyle w:val="ListBullet"/>
        <w:spacing w:after="40"/>
      </w:pPr>
      <w:r>
        <w:rPr>
          <w:sz w:val="17"/>
        </w:rPr>
        <w:t xml:space="preserve">Identifiants DB : .env hors Git, fichier d’environnement Linux protégé par chmod 600. Vérifier systématiquement </w:t>
      </w:r>
      <w:r>
        <w:rPr>
          <w:rFonts w:ascii="Cascadia Code" w:hAnsi="Cascadia Code"/>
          <w:color w:val="175CD3"/>
          <w:sz w:val="15"/>
        </w:rPr>
        <w:t>git status</w:t>
      </w:r>
      <w:r>
        <w:rPr>
          <w:sz w:val="17"/>
        </w:rPr>
        <w:t xml:space="preserve"> avant partage. Ne jamais inclure les valeurs de secrets dans les captures/journaux/livrables.</w:t>
      </w:r>
    </w:p>
    <w:p>
      <w:pPr>
        <w:pStyle w:val="ListBullet"/>
        <w:spacing w:after="40"/>
      </w:pPr>
      <w:r>
        <w:rPr>
          <w:sz w:val="17"/>
        </w:rPr>
        <w:t>API sans TLS : les ports réseau privé ne chiffrent pas le trafic. Usage pédagogique sur hôte isolé, non configuration Internet.</w:t>
      </w:r>
    </w:p>
    <w:p>
      <w:pPr>
        <w:pStyle w:val="ListBullet"/>
        <w:spacing w:after="40"/>
      </w:pPr>
      <w:r>
        <w:rPr>
          <w:sz w:val="17"/>
        </w:rPr>
        <w:t>Sécurité des sorties d’erreur : renvoyer un code JSON générique et journaliser les détails serveur sans exposer un DSN ou un mot de passe.</w:t>
      </w:r>
    </w:p>
    <w:p>
      <w:pPr>
        <w:pStyle w:val="ListBullet"/>
        <w:spacing w:after="40"/>
      </w:pPr>
      <w:r>
        <w:rPr>
          <w:sz w:val="17"/>
        </w:rPr>
        <w:t>Base unique en écriture : le streaming replica réduit l’exposition à la perte disque mais ne fournit pas de quorum automatique.</w:t>
      </w:r>
    </w:p>
    <w:p>
      <w:pPr>
        <w:pStyle w:val="ListBullet"/>
        <w:spacing w:after="40"/>
      </w:pPr>
      <w:r>
        <w:rPr>
          <w:sz w:val="17"/>
        </w:rPr>
        <w:t>Dépendance au poste : un seul ordinateur et un hyperviseur local partagent processeur, mémoire, disque et alimentation ; il ne s’agit pas de plusieurs domaines de panne indépendants.</w:t>
      </w:r>
    </w:p>
    <w:p>
      <w:pPr>
        <w:pStyle w:val="ListBullet"/>
        <w:spacing w:after="40"/>
      </w:pPr>
      <w:r>
        <w:rPr>
          <w:sz w:val="17"/>
        </w:rPr>
        <w:t>Supervision : deux scrapes app3/app4 sont en erreur car ces serveurs prévus sont volontairement arrêtés dans la campagne NB_APP=2, choisie en raison de la mémoire du poste. La capacité cible reste quatre applications. Générer les cibles Node Exporter selon NB_APP éviterait ces alertes attendues.</w:t>
      </w:r>
    </w:p>
    <w:p>
      <w:pPr>
        <w:pStyle w:val="ListBullet"/>
        <w:spacing w:after="40"/>
      </w:pPr>
      <w:r>
        <w:rPr>
          <w:sz w:val="17"/>
        </w:rPr>
        <w:t>Manque de mesures V3/V5 : ne pas annoncer amélioration de capacité sans résultat contrôlé.</w:t>
      </w:r>
    </w:p>
    <w:p>
      <w:pPr>
        <w:pStyle w:val="ListBullet"/>
        <w:spacing w:after="40"/>
      </w:pPr>
      <w:r>
        <w:rPr>
          <w:sz w:val="17"/>
        </w:rPr>
        <w:t>CSV historique : 2 lignes illisibles/de statut non-200 ; cette trace n’est pas un succès E4.</w:t>
      </w:r>
    </w:p>
    <w:p>
      <w:pPr>
        <w:pStyle w:val="ListBullet"/>
        <w:spacing w:after="40"/>
      </w:pPr>
      <w:r>
        <w:rPr>
          <w:sz w:val="17"/>
        </w:rPr>
        <w:t>Logos : les deux fichiers officiels ne sont pas disponibles dans le code et le sujet joint ne contient pas d’image sur sa couverture. Les zones réservées doivent être remplacées par les fichiers officiels autorisés avant envoi.</w:t>
      </w:r>
    </w:p>
    <w:p>
      <w:pPr>
        <w:pStyle w:val="Heading1"/>
        <w:keepNext/>
      </w:pPr>
      <w:r>
        <w:rPr>
          <w:sz w:val="26"/>
        </w:rPr>
        <w:t>10. ORGANISATION, DÉCISIONS ET PLAN DE SOUTENANCE</w:t>
      </w:r>
    </w:p>
    <w:p>
      <w:pPr>
        <w:widowControl/>
        <w:spacing w:after="30" w:line="240" w:lineRule="auto"/>
      </w:pPr>
      <w:r>
        <w:rPr>
          <w:sz w:val="16"/>
        </w:rPr>
        <w:t>Les quatre étudiants listés en page de garde constituent le groupe responsable du rendu. Le cahier de sujet impose quatre domaines (réseau/répartition, applicatif, données, essais/observabilité), mais les documents du dépôt ne permettent pas d’attester avec certitude la personne affectée à chacun. Le tableau à compléter ci-dessous empêche de créditer un rôle individuel sans confirmation du groupe.</w:t>
      </w:r>
    </w:p>
    <w:tbl>
      <w:tblPr>
        <w:tblStyle w:val="TableGrid"/>
        <w:tblW w:type="auto" w:w="0"/>
        <w:tblLayout w:type="autofit"/>
        <w:tblLook w:firstColumn="1" w:firstRow="1" w:lastColumn="0" w:lastRow="0" w:noHBand="0" w:noVBand="1" w:val="04A0"/>
      </w:tblPr>
      <w:tblGrid>
        <w:gridCol w:w="3214"/>
        <w:gridCol w:w="3214"/>
        <w:gridCol w:w="3214"/>
      </w:tblGrid>
      <w:tr>
        <w:trPr>
          <w:tblHeader w:val="true"/>
        </w:trPr>
        <w:tc>
          <w:tcPr>
            <w:tcW w:type="dxa" w:w="3214"/>
            <w:vAlign w:val="center"/>
            <w:tcMar>
              <w:top w:w="100" w:type="dxa"/>
              <w:start w:w="110" w:type="dxa"/>
              <w:bottom w:w="100" w:type="dxa"/>
              <w:end w:w="110" w:type="dxa"/>
            </w:tcMar>
            <w:shd w:fill="16324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color w:val="FFFFFF"/>
                <w:sz w:val="15"/>
              </w:rPr>
              <w:t>Domaine du projet</w:t>
            </w:r>
          </w:p>
        </w:tc>
        <w:tc>
          <w:tcPr>
            <w:tcW w:type="dxa" w:w="3214"/>
            <w:vAlign w:val="center"/>
            <w:tcMar>
              <w:top w:w="100" w:type="dxa"/>
              <w:start w:w="110" w:type="dxa"/>
              <w:bottom w:w="100" w:type="dxa"/>
              <w:end w:w="110" w:type="dxa"/>
            </w:tcMar>
            <w:shd w:fill="16324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color w:val="FFFFFF"/>
                <w:sz w:val="15"/>
              </w:rPr>
              <w:t>Contribution constatée dans le dépôt</w:t>
            </w:r>
          </w:p>
        </w:tc>
        <w:tc>
          <w:tcPr>
            <w:tcW w:type="dxa" w:w="3214"/>
            <w:vAlign w:val="center"/>
            <w:tcMar>
              <w:top w:w="100" w:type="dxa"/>
              <w:start w:w="110" w:type="dxa"/>
              <w:bottom w:w="100" w:type="dxa"/>
              <w:end w:w="110" w:type="dxa"/>
            </w:tcMar>
            <w:shd w:fill="16324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color w:val="FFFFFF"/>
                <w:sz w:val="15"/>
              </w:rPr>
              <w:t>Responsable nominatif à confirmer</w:t>
            </w:r>
          </w:p>
        </w:tc>
      </w:tr>
      <w:tr>
        <w:tc>
          <w:tcPr>
            <w:tcW w:type="dxa" w:w="3214"/>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Réseau / Vagrant / HAProxy / Keepalived</w:t>
            </w:r>
          </w:p>
        </w:tc>
        <w:tc>
          <w:tcPr>
            <w:tcW w:type="dxa" w:w="3214"/>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Vagrantfile, configurations et scripts de répartition</w:t>
            </w:r>
          </w:p>
        </w:tc>
        <w:tc>
          <w:tcPr>
            <w:tcW w:type="dxa" w:w="3214"/>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À compléter par le groupe</w:t>
            </w:r>
          </w:p>
        </w:tc>
      </w:tr>
      <w:tr>
        <w:tc>
          <w:tcPr>
            <w:tcW w:type="dxa" w:w="3214"/>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Application / API / E4</w:t>
            </w:r>
          </w:p>
        </w:tc>
        <w:tc>
          <w:tcPr>
            <w:tcW w:type="dxa" w:w="3214"/>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Flask, scripts d’installation et déploiement progressif</w:t>
            </w:r>
          </w:p>
        </w:tc>
        <w:tc>
          <w:tcPr>
            <w:tcW w:type="dxa" w:w="3214"/>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À compléter par le groupe</w:t>
            </w:r>
          </w:p>
        </w:tc>
      </w:tr>
      <w:tr>
        <w:tc>
          <w:tcPr>
            <w:tcW w:type="dxa" w:w="3214"/>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Données / réplication / failover</w:t>
            </w:r>
          </w:p>
        </w:tc>
        <w:tc>
          <w:tcPr>
            <w:tcW w:type="dxa" w:w="3214"/>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PostgreSQL, schéma, seed, réplica et script failover</w:t>
            </w:r>
          </w:p>
        </w:tc>
        <w:tc>
          <w:tcPr>
            <w:tcW w:type="dxa" w:w="3214"/>
            <w:vAlign w:val="center"/>
            <w:tcMar>
              <w:top w:w="100" w:type="dxa"/>
              <w:start w:w="110" w:type="dxa"/>
              <w:bottom w:w="100" w:type="dxa"/>
              <w:end w:w="110" w:type="dxa"/>
            </w:tcMar>
            <w:shd w:fill="F2F5F9"/>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À compléter par le groupe</w:t>
            </w:r>
          </w:p>
        </w:tc>
      </w:tr>
      <w:tr>
        <w:tc>
          <w:tcPr>
            <w:tcW w:type="dxa" w:w="3214"/>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Tests / observabilité / rapport</w:t>
            </w:r>
          </w:p>
        </w:tc>
        <w:tc>
          <w:tcPr>
            <w:tcW w:type="dxa" w:w="3214"/>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test de répartition, charge continue, CSV, Prometheus/Grafana</w:t>
            </w:r>
          </w:p>
        </w:tc>
        <w:tc>
          <w:tcPr>
            <w:tcW w:type="dxa" w:w="3214"/>
            <w:vAlign w:val="center"/>
            <w:tcMar>
              <w:top w:w="100" w:type="dxa"/>
              <w:start w:w="110" w:type="dxa"/>
              <w:bottom w:w="100" w:type="dxa"/>
              <w:end w:w="110" w:type="dxa"/>
            </w:tcMar>
            <w:shd w:fill="FFFFFF"/>
            <w:tcBorders>
              <w:top w:val="single" w:sz="4" w:color="C9D4E2"/>
              <w:left w:val="single" w:sz="4" w:color="C9D4E2"/>
              <w:bottom w:val="single" w:sz="4" w:color="C9D4E2"/>
              <w:right w:val="single" w:sz="4" w:color="C9D4E2"/>
              <w:insideH w:val="single" w:sz="4" w:color="C9D4E2"/>
              <w:insideV w:val="single" w:sz="4" w:color="C9D4E2"/>
            </w:tcBorders>
          </w:tcPr>
          <w:p>
            <w:pPr>
              <w:spacing w:after="0"/>
              <w:jc w:val="left"/>
            </w:pPr>
            <w:r/>
            <w:r>
              <w:rPr>
                <w:rFonts w:ascii="Aptos" w:hAnsi="Aptos"/>
                <w:b w:val="0"/>
                <w:color w:val="263448"/>
                <w:sz w:val="14"/>
              </w:rPr>
              <w:t>À compléter par le groupe</w:t>
            </w:r>
          </w:p>
        </w:tc>
      </w:tr>
    </w:tbl>
    <w:p>
      <w:pPr>
        <w:spacing w:after="20"/>
      </w:pPr>
    </w:p>
    <w:p>
      <w:pPr>
        <w:widowControl/>
        <w:spacing w:after="30" w:line="240" w:lineRule="auto"/>
      </w:pPr>
      <w:r>
        <w:rPr>
          <w:sz w:val="16"/>
        </w:rPr>
        <w:t>Décisions structurantes : Vagrant rend déclaratifs les nœuds ; NB_APP règle le nombre d’applications ; les IP de nœuds répondent au sous-réseau du groupe 18 ; PostgreSQL centralise l’état ; HAProxy sépare un point d’entrée logique des instances applicatives ; Keepalived partage une VIP ; Prometheus collecte les mesures. Ces choix sont cohérents avec la résilience et la scalabilité pédagogique, tout en gardant explicites leurs points de défaillance locaux.</w:t>
      </w:r>
    </w:p>
    <w:p>
      <w:r>
        <w:br w:type="page"/>
      </w:r>
    </w:p>
    <w:p>
      <w:pPr>
        <w:pStyle w:val="Heading1"/>
        <w:keepNext/>
      </w:pPr>
      <w:r>
        <w:rPr>
          <w:sz w:val="26"/>
        </w:rPr>
        <w:t>10.1 CONCLUSION ET PLAN D’ACTION DE REMISE</w:t>
      </w:r>
    </w:p>
    <w:p>
      <w:pPr>
        <w:widowControl/>
        <w:spacing w:after="30" w:line="240" w:lineRule="auto"/>
      </w:pPr>
      <w:r>
        <w:rPr>
          <w:sz w:val="16"/>
        </w:rPr>
        <w:t>L’environnement examiné fournit un socle fonctionnel observable : Vagrant a validé la syntaxe ; sept machines sont indiquées running dans le relevé avec NB_APP=2 ; l’API répond sur le port local et via la VIP ; sur 200 requêtes séquentielles /info, app1 et app2 ont répondu 100 fois chacune sans erreur ; la base et sa réplique contiennent 50 000 lignes et le flux est en streaming. Le Vagrantfile permet une capacité cible de quatre applications, mais l’hôte du groupe n’en a exécuté que deux pour des raisons de ressources. Prometheus est prêt : 10 cibles sur 12 sont joignables. Grafana health répond, mais l’accès anonyme à l’API de recherche de dashboards retourne 401 ; l’affichage des panneaux n’a donc pas été validé.</w:t>
      </w:r>
    </w:p>
    <w:p>
      <w:pPr>
        <w:widowControl/>
        <w:spacing w:after="30" w:line="240" w:lineRule="auto"/>
      </w:pPr>
      <w:r>
        <w:rPr>
          <w:sz w:val="16"/>
        </w:rPr>
        <w:t>Les preuves ne doivent pas être surinterprétées : V1 est vérifié sur 200 appels, et non sur les 20 appels de l’épreuve ; V2 repose sur un CSV historique contenant deux échecs, sans preuve synchronisée de l’arrêt d’une VM ; V3, la promotion de la base, l’arrêt de lb1 et la reconstruction vierge ne sont pas démontrés. Ces scénarios ne sont pas déclarés réussis.</w:t>
      </w:r>
    </w:p>
    <w:p>
      <w:pPr>
        <w:widowControl/>
        <w:spacing w:after="30" w:line="240" w:lineRule="auto"/>
      </w:pPr>
      <w:r>
        <w:rPr>
          <w:sz w:val="16"/>
        </w:rPr>
        <w:t>Avant l’envoi au professeur, l’équipe doit vérifier les rôles nominatifs, insérer les logos institutionnels autorisés, vérifier l’URL du dépôt, contrôler les secrets sans publier leurs valeurs et, si une fenêtre de laboratoire est disponible, compléter les scénarios non prouvés avec sauvegarde, autorisation et rapports horodatés. Les observations datées du 27 octobre 2026 décrivent un environnement pédagogique et ne constituent pas un certificat de production.</w:t>
      </w:r>
    </w:p>
    <w:p>
      <w:r>
        <w:br w:type="page"/>
      </w:r>
    </w:p>
    <w:p>
      <w:pPr>
        <w:pStyle w:val="Heading1"/>
        <w:keepNext/>
      </w:pPr>
      <w:r>
        <w:rPr>
          <w:sz w:val="26"/>
        </w:rPr>
        <w:t>ANNEXE — PROTOCOLE DE SOUTENANCE ET RÉFÉRENCES</w:t>
      </w:r>
    </w:p>
    <w:p>
      <w:pPr>
        <w:widowControl/>
        <w:spacing w:after="30" w:line="240" w:lineRule="auto"/>
      </w:pPr>
      <w:r>
        <w:rPr>
          <w:sz w:val="16"/>
        </w:rPr>
        <w:t xml:space="preserve">Répartition non destructive : </w:t>
      </w:r>
      <w:r>
        <w:rPr>
          <w:rFonts w:ascii="Cascadia Code" w:hAnsi="Cascadia Code"/>
          <w:color w:val="175CD3"/>
          <w:sz w:val="14"/>
        </w:rPr>
        <w:t>python tests/v1_repartition.py http://127.0.0.1:8080 20 2</w:t>
      </w:r>
      <w:r>
        <w:rPr>
          <w:sz w:val="16"/>
        </w:rPr>
        <w:t xml:space="preserve"> ; ou </w:t>
      </w:r>
      <w:r>
        <w:rPr>
          <w:rFonts w:ascii="Cascadia Code" w:hAnsi="Cascadia Code"/>
          <w:color w:val="175CD3"/>
          <w:sz w:val="14"/>
        </w:rPr>
        <w:t>tests/validation-finale.ps1 -Samples 200</w:t>
      </w:r>
      <w:r>
        <w:rPr>
          <w:sz w:val="16"/>
        </w:rPr>
        <w:t xml:space="preserve"> si aucune autre démonstration ou charge n’utilise l’environnement. Conserver le CSV/JSON produit.</w:t>
      </w:r>
    </w:p>
    <w:p>
      <w:pPr>
        <w:widowControl/>
        <w:spacing w:after="30" w:line="240" w:lineRule="auto"/>
      </w:pPr>
      <w:r>
        <w:rPr>
          <w:sz w:val="16"/>
        </w:rPr>
        <w:t xml:space="preserve">Charge : </w:t>
      </w:r>
      <w:r>
        <w:rPr>
          <w:rFonts w:ascii="Cascadia Code" w:hAnsi="Cascadia Code"/>
          <w:color w:val="175CD3"/>
          <w:sz w:val="14"/>
        </w:rPr>
        <w:t>ab -n 2000 -c 50 http://127.0.0.1:8080/info</w:t>
      </w:r>
      <w:r>
        <w:rPr>
          <w:sz w:val="16"/>
        </w:rPr>
        <w:t>, uniquement en campagne autorisée. Relever débit, latence p95, erreurs et ressources ; comparer NB_APP=2 et NB_APP=4 dans des conditions identiques. Le test NB_APP=4 doit être réalisé sur un hôte capable d’allouer environ 5,5 Gio aux VM configurées, en plus de la mémoire nécessaire au système hôte.</w:t>
      </w:r>
    </w:p>
    <w:p>
      <w:pPr>
        <w:widowControl/>
        <w:spacing w:after="30" w:line="240" w:lineRule="auto"/>
      </w:pPr>
      <w:r>
        <w:rPr>
          <w:sz w:val="16"/>
        </w:rPr>
        <w:t xml:space="preserve">Pannes : pour V2, arrêter une application ; pour V6, tester la VIP </w:t>
      </w:r>
      <w:r>
        <w:rPr>
          <w:rFonts w:ascii="Cascadia Code" w:hAnsi="Cascadia Code"/>
          <w:color w:val="175CD3"/>
          <w:sz w:val="14"/>
        </w:rPr>
        <w:t>http://192.168.63.10</w:t>
      </w:r>
      <w:r>
        <w:rPr>
          <w:sz w:val="16"/>
        </w:rPr>
        <w:t xml:space="preserve"> après arrêt contrôlé de lb1 ; pour V4, promouvoir bdd2 seulement après sauvegarde et accord explicite ; pour V5, reconstruire sur un poste de test vierge. Pour chacun, horodater commande, codes HTTP, retour stable, LSN/compte SQL et état des VM. Ces actions peuvent interrompre le service ou effacer les disques virtuels ; elles ne sont pas à lancer sans autorisation.</w:t>
      </w:r>
    </w:p>
    <w:p>
      <w:pPr>
        <w:widowControl/>
        <w:spacing w:after="30" w:line="240" w:lineRule="auto"/>
      </w:pPr>
      <w:r>
        <w:rPr>
          <w:sz w:val="16"/>
        </w:rPr>
        <w:t>Pendant toute campagne, noter date, versions, variables NB_APP/ENABLE_HA/ENABLE_OBS (sans secrets), état des VMs, URL testée, commandes, durée, erreurs et limites. Ne jamais inclure de mot de passe ni de données personnelles dans les pièces remises.</w:t>
      </w:r>
    </w:p>
    <w:p>
      <w:pPr>
        <w:widowControl/>
        <w:spacing w:after="30" w:line="240" w:lineRule="auto"/>
      </w:pPr>
      <w:r>
        <w:rPr>
          <w:sz w:val="16"/>
        </w:rPr>
        <w:t xml:space="preserve">Fichiers de référence : </w:t>
      </w:r>
      <w:r>
        <w:rPr>
          <w:rFonts w:ascii="Cascadia Code" w:hAnsi="Cascadia Code"/>
          <w:color w:val="175CD3"/>
          <w:sz w:val="14"/>
        </w:rPr>
        <w:t>Vagrantfile</w:t>
      </w:r>
      <w:r>
        <w:rPr>
          <w:sz w:val="16"/>
        </w:rPr>
        <w:t xml:space="preserve">, </w:t>
      </w:r>
      <w:r>
        <w:rPr>
          <w:rFonts w:ascii="Cascadia Code" w:hAnsi="Cascadia Code"/>
          <w:color w:val="175CD3"/>
          <w:sz w:val="14"/>
        </w:rPr>
        <w:t>.env.exemple</w:t>
      </w:r>
      <w:r>
        <w:rPr>
          <w:sz w:val="16"/>
        </w:rPr>
        <w:t xml:space="preserve"> (modèle seulement), </w:t>
      </w:r>
      <w:r>
        <w:rPr>
          <w:rFonts w:ascii="Cascadia Code" w:hAnsi="Cascadia Code"/>
          <w:color w:val="175CD3"/>
          <w:sz w:val="14"/>
        </w:rPr>
        <w:t>scripts/setup-app.sh</w:t>
      </w:r>
      <w:r>
        <w:rPr>
          <w:sz w:val="16"/>
        </w:rPr>
        <w:t xml:space="preserve">, </w:t>
      </w:r>
      <w:r>
        <w:rPr>
          <w:rFonts w:ascii="Cascadia Code" w:hAnsi="Cascadia Code"/>
          <w:color w:val="175CD3"/>
          <w:sz w:val="14"/>
        </w:rPr>
        <w:t>scripts/setup-database.sh</w:t>
      </w:r>
      <w:r>
        <w:rPr>
          <w:sz w:val="16"/>
        </w:rPr>
        <w:t xml:space="preserve">, </w:t>
      </w:r>
      <w:r>
        <w:rPr>
          <w:rFonts w:ascii="Cascadia Code" w:hAnsi="Cascadia Code"/>
          <w:color w:val="175CD3"/>
          <w:sz w:val="14"/>
        </w:rPr>
        <w:t>scripts/setup-replica.sh</w:t>
      </w:r>
      <w:r>
        <w:rPr>
          <w:sz w:val="16"/>
        </w:rPr>
        <w:t xml:space="preserve">, </w:t>
      </w:r>
      <w:r>
        <w:rPr>
          <w:rFonts w:ascii="Cascadia Code" w:hAnsi="Cascadia Code"/>
          <w:color w:val="175CD3"/>
          <w:sz w:val="14"/>
        </w:rPr>
        <w:t>scripts/setup-lb-ha.sh</w:t>
      </w:r>
      <w:r>
        <w:rPr>
          <w:sz w:val="16"/>
        </w:rPr>
        <w:t xml:space="preserve">, </w:t>
      </w:r>
      <w:r>
        <w:rPr>
          <w:rFonts w:ascii="Cascadia Code" w:hAnsi="Cascadia Code"/>
          <w:color w:val="175CD3"/>
          <w:sz w:val="14"/>
        </w:rPr>
        <w:t>scripts/failover-db.sh</w:t>
      </w:r>
      <w:r>
        <w:rPr>
          <w:sz w:val="16"/>
        </w:rPr>
        <w:t xml:space="preserve">, </w:t>
      </w:r>
      <w:r>
        <w:rPr>
          <w:rFonts w:ascii="Cascadia Code" w:hAnsi="Cascadia Code"/>
          <w:color w:val="175CD3"/>
          <w:sz w:val="14"/>
        </w:rPr>
        <w:t>scripts/setup-observability.sh</w:t>
      </w:r>
      <w:r>
        <w:rPr>
          <w:sz w:val="16"/>
        </w:rPr>
        <w:t xml:space="preserve">, </w:t>
      </w:r>
      <w:r>
        <w:rPr>
          <w:rFonts w:ascii="Cascadia Code" w:hAnsi="Cascadia Code"/>
          <w:color w:val="175CD3"/>
          <w:sz w:val="14"/>
        </w:rPr>
        <w:t>app/app.py</w:t>
      </w:r>
      <w:r>
        <w:rPr>
          <w:sz w:val="16"/>
        </w:rPr>
        <w:t xml:space="preserve">, </w:t>
      </w:r>
      <w:r>
        <w:rPr>
          <w:rFonts w:ascii="Cascadia Code" w:hAnsi="Cascadia Code"/>
          <w:color w:val="175CD3"/>
          <w:sz w:val="14"/>
        </w:rPr>
        <w:t>database/schema.sql</w:t>
      </w:r>
      <w:r>
        <w:rPr>
          <w:sz w:val="16"/>
        </w:rPr>
        <w:t xml:space="preserve">, </w:t>
      </w:r>
      <w:r>
        <w:rPr>
          <w:rFonts w:ascii="Cascadia Code" w:hAnsi="Cascadia Code"/>
          <w:color w:val="175CD3"/>
          <w:sz w:val="14"/>
        </w:rPr>
        <w:t>database/seed.sql</w:t>
      </w:r>
      <w:r>
        <w:rPr>
          <w:sz w:val="16"/>
        </w:rPr>
        <w:t xml:space="preserve">, </w:t>
      </w:r>
      <w:r>
        <w:rPr>
          <w:rFonts w:ascii="Cascadia Code" w:hAnsi="Cascadia Code"/>
          <w:color w:val="175CD3"/>
          <w:sz w:val="14"/>
        </w:rPr>
        <w:t>tests/validation-finale.ps1</w:t>
      </w:r>
      <w:r>
        <w:rPr>
          <w:sz w:val="16"/>
        </w:rPr>
        <w:t xml:space="preserve">, </w:t>
      </w:r>
      <w:r>
        <w:rPr>
          <w:rFonts w:ascii="Cascadia Code" w:hAnsi="Cascadia Code"/>
          <w:color w:val="175CD3"/>
          <w:sz w:val="14"/>
        </w:rPr>
        <w:t>tests/v1_repartition.py</w:t>
      </w:r>
      <w:r>
        <w:rPr>
          <w:sz w:val="16"/>
        </w:rPr>
        <w:t xml:space="preserve">, </w:t>
      </w:r>
      <w:r>
        <w:rPr>
          <w:rFonts w:ascii="Cascadia Code" w:hAnsi="Cascadia Code"/>
          <w:color w:val="175CD3"/>
          <w:sz w:val="14"/>
        </w:rPr>
        <w:t>tests/resultats/v2-20261027-195118.csv</w:t>
      </w:r>
      <w:r>
        <w:rPr>
          <w:sz w:val="16"/>
        </w:rPr>
        <w:t xml:space="preserve"> et le tableau Grafana.</w:t>
      </w:r>
    </w:p>
    <w:sectPr w:rsidR="00FC693F" w:rsidRPr="0006063C" w:rsidSect="00034616">
      <w:headerReference w:type="default" r:id="rId9"/>
      <w:footerReference w:type="default" r:id="rId10"/>
      <w:pgSz w:w="11909" w:h="16834"/>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ptos" w:hAnsi="Aptos"/>
        <w:color w:val="617186"/>
        <w:sz w:val="16"/>
      </w:rPr>
      <w:t xml:space="preserve">Dossier d’architecture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Aptos" w:hAnsi="Aptos"/>
        <w:color w:val="175CD3"/>
        <w:sz w:val="16"/>
      </w:rPr>
      <w:t>GROUPE 18  ·  RÉSULTATS-BF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color w:val="26344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75CD3"/>
      <w:sz w:val="22"/>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079E8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ephraim2002/resultats-bf" TargetMode="Externa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d’architecture — RÉSULTATS-BF — Groupe 18</dc:title>
  <dc:subject>Capacité cible : quatre serveurs applicatifs · Exécution mesurée : deux, selon les ressources disponibles</dc:subject>
  <dc:creator>Groupe 18 — UJKZ / IBAM</dc:creator>
  <cp:keywords>RÉSULTATS-BF; Vagrant; VirtualBox; infrastructure; groupe 18</cp:keywords>
  <dc:description>generated by python-docx</dc:description>
  <cp:lastModifiedBy/>
  <cp:revision>1</cp:revision>
  <dcterms:created xsi:type="dcterms:W3CDTF">2013-12-23T23:15:00Z</dcterms:created>
  <dcterms:modified xsi:type="dcterms:W3CDTF">2013-12-23T23:15:00Z</dcterms:modified>
  <cp:category/>
</cp:coreProperties>
</file>