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47mh6b2t6ut" w:id="0"/>
      <w:bookmarkEnd w:id="0"/>
      <w:r w:rsidDel="00000000" w:rsidR="00000000" w:rsidRPr="00000000">
        <w:rPr>
          <w:rtl w:val="0"/>
        </w:rPr>
        <w:t xml:space="preserve">Basel Notification Support 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Basel Notification Document (Form A)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Basel Movement Document (Form B)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Financial Guarantee / Insurance Certificate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Waste Contract / Consent Letters (Exporter–Importer–Facility)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Annex VII or PIC Correspondence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Non-Objection Letters (from all transit/receiving states)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Packing List &amp; Weight Certificate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Bill of Lading / Shipping Instructions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Customs Export Declaration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Importer/Facility Environmental Permit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Exporter Environmental Authorization / Licence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Battery Analysis or Classification Certificate (Annex I/III)</w:t>
        <w:br w:type="textWrapping"/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kozppg0h4pb" w:id="1"/>
      <w:bookmarkEnd w:id="1"/>
      <w:r w:rsidDel="00000000" w:rsidR="00000000" w:rsidRPr="00000000">
        <w:rPr>
          <w:rtl w:val="0"/>
        </w:rPr>
        <w:t xml:space="preserve">📎 Supplemental or Conditional Documents (4–6 more)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Safety Data Sheet (SDS)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Radiation / Contamination Test Report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Photographic Evidence of Packing &amp; Labels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Container Inspection Certificate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Transporter Authorization / ADR Compliance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Smelter Recycling Efficiency Declaration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👉 Average total: 15–18 documents per shipment.</w:t>
        <w:br w:type="textWrapping"/>
        <w:t xml:space="preserve"> For high-value or multi-transit routes, expect up to 20–25 attachments, especially if national authorities request translated or notarized copies.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