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C1DEA" w14:textId="77777777" w:rsidR="00F323FE" w:rsidRPr="00EE7A94" w:rsidRDefault="00F323FE" w:rsidP="00F323FE">
      <w:pPr>
        <w:rPr>
          <w:rFonts w:ascii="Calibri" w:hAnsi="Calibri" w:cs="Calibri"/>
        </w:rPr>
      </w:pPr>
      <w:r w:rsidRPr="00EE7A94">
        <w:rPr>
          <w:rFonts w:ascii="Calibri" w:hAnsi="Calibri" w:cs="Calibri"/>
          <w:b/>
          <w:bCs/>
        </w:rPr>
        <w:t>Table 1</w:t>
      </w:r>
      <w:r w:rsidRPr="00EE7A94">
        <w:rPr>
          <w:rFonts w:ascii="Calibri" w:hAnsi="Calibri" w:cs="Calibri"/>
        </w:rPr>
        <w:t>. Single-arm trial and experimental arm features, stratified by adjustment method.</w:t>
      </w:r>
    </w:p>
    <w:p w14:paraId="342857AB" w14:textId="1537FB11" w:rsidR="00A14C21" w:rsidRPr="00EE7A94" w:rsidRDefault="00A14C21" w:rsidP="00F323FE">
      <w:pPr>
        <w:rPr>
          <w:rFonts w:ascii="Calibri" w:hAnsi="Calibri" w:cs="Calibri"/>
        </w:rPr>
      </w:pPr>
    </w:p>
    <w:tbl>
      <w:tblPr>
        <w:tblW w:w="10401" w:type="dxa"/>
        <w:jc w:val="center"/>
        <w:tblLayout w:type="fixed"/>
        <w:tblLook w:val="0420" w:firstRow="1" w:lastRow="0" w:firstColumn="0" w:lastColumn="0" w:noHBand="0" w:noVBand="1"/>
      </w:tblPr>
      <w:tblGrid>
        <w:gridCol w:w="3667"/>
        <w:gridCol w:w="1851"/>
        <w:gridCol w:w="2530"/>
        <w:gridCol w:w="2353"/>
      </w:tblGrid>
      <w:tr w:rsidR="00F323FE" w:rsidRPr="00EE7A94" w14:paraId="10339662" w14:textId="77777777" w:rsidTr="00F323FE">
        <w:trPr>
          <w:trHeight w:val="237"/>
          <w:jc w:val="center"/>
        </w:trPr>
        <w:tc>
          <w:tcPr>
            <w:tcW w:w="366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F4CC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color w:val="000000"/>
              </w:rPr>
            </w:pPr>
            <w:bookmarkStart w:id="0" w:name="_Hlk224050158"/>
            <w:r w:rsidRPr="00EE7A94">
              <w:rPr>
                <w:rFonts w:ascii="Calibri" w:eastAsia="Arial" w:hAnsi="Calibri" w:cs="Calibri"/>
                <w:b/>
                <w:color w:val="000000"/>
              </w:rPr>
              <w:t>Characteristics</w:t>
            </w:r>
            <w:r w:rsidRPr="00EE7A94">
              <w:rPr>
                <w:rFonts w:ascii="Calibri" w:eastAsia="Arial" w:hAnsi="Calibri" w:cs="Calibri"/>
                <w:color w:val="000000"/>
              </w:rPr>
              <w:br/>
              <w:t>n(%); median (IQR)</w:t>
            </w:r>
          </w:p>
        </w:tc>
        <w:tc>
          <w:tcPr>
            <w:tcW w:w="18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1AFAF" w14:textId="69C91A38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b/>
                <w:color w:val="000000"/>
              </w:rPr>
              <w:t>Overall</w:t>
            </w:r>
            <w:r w:rsidRPr="00EE7A94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E7A94">
              <w:rPr>
                <w:rFonts w:ascii="Calibri" w:eastAsia="Arial" w:hAnsi="Calibri" w:cs="Calibri"/>
                <w:color w:val="000000"/>
              </w:rPr>
              <w:br/>
              <w:t>N = 55</w:t>
            </w:r>
          </w:p>
        </w:tc>
        <w:tc>
          <w:tcPr>
            <w:tcW w:w="253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9F5E" w14:textId="3A2648F1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b/>
                <w:color w:val="000000"/>
              </w:rPr>
              <w:t>Balancing-based methods</w:t>
            </w:r>
            <w:r w:rsidRPr="00EE7A94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E7A94">
              <w:rPr>
                <w:rFonts w:ascii="Calibri" w:eastAsia="Arial" w:hAnsi="Calibri" w:cs="Calibri"/>
                <w:color w:val="000000"/>
              </w:rPr>
              <w:br/>
              <w:t>N = 29</w:t>
            </w:r>
          </w:p>
        </w:tc>
        <w:tc>
          <w:tcPr>
            <w:tcW w:w="23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CE55" w14:textId="62FFB9EC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b/>
                <w:color w:val="000000"/>
              </w:rPr>
              <w:t>Non-balancing methods</w:t>
            </w:r>
            <w:r w:rsidRPr="00EE7A94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E7A94">
              <w:rPr>
                <w:rFonts w:ascii="Calibri" w:eastAsia="Arial" w:hAnsi="Calibri" w:cs="Calibri"/>
                <w:color w:val="000000"/>
              </w:rPr>
              <w:br/>
              <w:t>N = 26</w:t>
            </w:r>
          </w:p>
        </w:tc>
      </w:tr>
      <w:tr w:rsidR="00F323FE" w:rsidRPr="00EE7A94" w14:paraId="343E3A1B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115A0" w14:textId="70F72585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E7A94">
              <w:rPr>
                <w:rFonts w:ascii="Calibri" w:eastAsia="Arial" w:hAnsi="Calibri" w:cs="Calibri"/>
                <w:b/>
                <w:bCs/>
                <w:color w:val="000000"/>
              </w:rPr>
              <w:t>Study details</w:t>
            </w:r>
          </w:p>
        </w:tc>
        <w:tc>
          <w:tcPr>
            <w:tcW w:w="1851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77FE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530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2A685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52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B21D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F323FE" w:rsidRPr="00EE7A94" w14:paraId="0298E2B4" w14:textId="77777777" w:rsidTr="00F323FE">
        <w:trPr>
          <w:trHeight w:val="188"/>
          <w:jc w:val="center"/>
        </w:trPr>
        <w:tc>
          <w:tcPr>
            <w:tcW w:w="3667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CD8B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Publication year &gt;= 2015</w:t>
            </w:r>
          </w:p>
        </w:tc>
        <w:tc>
          <w:tcPr>
            <w:tcW w:w="185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19C6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45 (82%)</w:t>
            </w:r>
          </w:p>
        </w:tc>
        <w:tc>
          <w:tcPr>
            <w:tcW w:w="253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AB5D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27 (93%)</w:t>
            </w:r>
          </w:p>
        </w:tc>
        <w:tc>
          <w:tcPr>
            <w:tcW w:w="235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E2A4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18 (69%)</w:t>
            </w:r>
          </w:p>
        </w:tc>
      </w:tr>
      <w:tr w:rsidR="00F323FE" w:rsidRPr="00EE7A94" w14:paraId="6CFFA2A0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DBF0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Phase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531E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83FA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F20F1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F323FE" w:rsidRPr="00EE7A94" w14:paraId="2F0BC08D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ED59A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Pilot study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549F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7 (13%)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44EF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 (7%)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654B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5 (19%)</w:t>
            </w:r>
          </w:p>
        </w:tc>
      </w:tr>
      <w:tr w:rsidR="00F323FE" w:rsidRPr="00EE7A94" w14:paraId="622F498E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6A82D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Phase I and/or II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EC71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21 (38%)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80024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15 (52%)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A2F8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6 (23%)</w:t>
            </w:r>
          </w:p>
        </w:tc>
      </w:tr>
      <w:tr w:rsidR="00F323FE" w:rsidRPr="00EE7A94" w14:paraId="03EEF4C6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5A6E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Other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FB47D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 (5%)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C2CC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 (10%)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F850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F323FE" w:rsidRPr="00EE7A94" w14:paraId="4BB3A71E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10F4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2AA05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24 (44%)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15C42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D1822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15 (58%)</w:t>
            </w:r>
          </w:p>
        </w:tc>
      </w:tr>
      <w:tr w:rsidR="00F323FE" w:rsidRPr="00EE7A94" w14:paraId="6999C934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F10C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Trial registration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364D5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36 (65%)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FFE3F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26 (90%)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9799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10 (38%)</w:t>
            </w:r>
          </w:p>
        </w:tc>
      </w:tr>
      <w:tr w:rsidR="00F323FE" w:rsidRPr="00EE7A94" w14:paraId="40C51A6D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8B0B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Single-center study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F909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19 (43%)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A578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7 (30%)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CC742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12 (57%)</w:t>
            </w:r>
          </w:p>
        </w:tc>
      </w:tr>
      <w:tr w:rsidR="00F323FE" w:rsidRPr="00EE7A94" w14:paraId="186DB43F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38D5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2BA0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11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7231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6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AEC71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5</w:t>
            </w:r>
          </w:p>
        </w:tc>
      </w:tr>
      <w:tr w:rsidR="00F323FE" w:rsidRPr="00EE7A94" w14:paraId="3C804890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19AA7" w14:textId="5560E3EF" w:rsidR="00F323FE" w:rsidRPr="00EE7A94" w:rsidRDefault="00F323FE" w:rsidP="00F323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 xml:space="preserve">  Population*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6D89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F6C6D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F501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F323FE" w:rsidRPr="00EE7A94" w14:paraId="62657052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89ED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 xml:space="preserve">    Infants, children or adolescents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282A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8 (15%)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B5E1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4 (14%)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58A3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4 (15%)</w:t>
            </w:r>
          </w:p>
        </w:tc>
      </w:tr>
      <w:tr w:rsidR="00F323FE" w:rsidRPr="00EE7A94" w14:paraId="2B539814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2E71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 xml:space="preserve">    Adults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8F78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42 (76%)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D1ED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24 (83%)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59A7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18 (69%)</w:t>
            </w:r>
          </w:p>
        </w:tc>
      </w:tr>
      <w:tr w:rsidR="00F323FE" w:rsidRPr="00EE7A94" w14:paraId="005DEDE6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E10B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 xml:space="preserve">    Elderly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4AB2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38 (69%)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5D89F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23 (79%)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4181D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15 (58%)</w:t>
            </w:r>
          </w:p>
        </w:tc>
      </w:tr>
      <w:tr w:rsidR="00F323FE" w:rsidRPr="00EE7A94" w14:paraId="5945036F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C507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 xml:space="preserve">    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7E31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8 (15%)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0976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 (10%)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CB8A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5 (19%)</w:t>
            </w:r>
          </w:p>
        </w:tc>
      </w:tr>
      <w:tr w:rsidR="00F323FE" w:rsidRPr="00EE7A94" w14:paraId="39EC6F2B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1A3A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Pathology type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FE77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01AC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0D80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F323FE" w:rsidRPr="00EE7A94" w14:paraId="7495D8C5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18A4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Solid tumor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3A954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18 (33%)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3D0EF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33D5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9 (35%)</w:t>
            </w:r>
          </w:p>
        </w:tc>
      </w:tr>
      <w:tr w:rsidR="00F323FE" w:rsidRPr="00EE7A94" w14:paraId="71D8E758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A0291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Haemato Oncology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1380A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12 (22%)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F966D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8 (28%)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A8F51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4 (15%)</w:t>
            </w:r>
          </w:p>
        </w:tc>
      </w:tr>
      <w:tr w:rsidR="00F323FE" w:rsidRPr="00EE7A94" w14:paraId="019F8A4C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021C4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oncology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2D5A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25 (45%)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4A4A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12 (41%)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E1F32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13 (50%)</w:t>
            </w:r>
          </w:p>
        </w:tc>
      </w:tr>
      <w:tr w:rsidR="00F323FE" w:rsidRPr="00EE7A94" w14:paraId="06A23225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943E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Year of first enrollment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DC00C" w14:textId="042DF53E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2016 (2012, 2020)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D38DD" w14:textId="22AE448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2017 (2015, 2020)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B7271" w14:textId="53D860AC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2012 (2007, 2017)</w:t>
            </w:r>
          </w:p>
        </w:tc>
      </w:tr>
      <w:tr w:rsidR="00F323FE" w:rsidRPr="00EE7A94" w14:paraId="45DDE505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A67C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CB2F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11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B380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8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12D2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</w:t>
            </w:r>
          </w:p>
        </w:tc>
      </w:tr>
      <w:tr w:rsidR="00F323FE" w:rsidRPr="00EE7A94" w14:paraId="3F06B2F5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26B4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9813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FFF44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0A215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F323FE" w:rsidRPr="00EE7A94" w14:paraId="0AD8E685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F9563" w14:textId="1867B4D9" w:rsidR="00F323FE" w:rsidRPr="00EE7A94" w:rsidRDefault="00F323FE" w:rsidP="00F323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E7A94">
              <w:rPr>
                <w:rFonts w:ascii="Calibri" w:eastAsia="Arial" w:hAnsi="Calibri" w:cs="Calibri"/>
                <w:b/>
                <w:bCs/>
                <w:color w:val="000000"/>
              </w:rPr>
              <w:t>Experimental arm settings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2D35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2FC1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EA4E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F323FE" w:rsidRPr="00EE7A94" w14:paraId="1366CFF2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7BEF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Arm derived from previously published study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5F4E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21 (38%)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02BFC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19 (66%)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4511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 (8%)</w:t>
            </w:r>
          </w:p>
        </w:tc>
      </w:tr>
      <w:tr w:rsidR="00F323FE" w:rsidRPr="00EE7A94" w14:paraId="3C1D3748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4379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lastRenderedPageBreak/>
              <w:t>Index date definition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4F93D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A7625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3533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F323FE" w:rsidRPr="00EE7A94" w14:paraId="12FAFB41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EA31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Treatment initiation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48732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12 (22%)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3661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11 (38%)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FC9B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 (4%)</w:t>
            </w:r>
          </w:p>
        </w:tc>
      </w:tr>
      <w:tr w:rsidR="00F323FE" w:rsidRPr="00EE7A94" w14:paraId="4C0D9051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5AAC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Other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6718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6 (11%)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E604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 (10%)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1210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 (12%)</w:t>
            </w:r>
          </w:p>
        </w:tc>
      </w:tr>
      <w:tr w:rsidR="00F323FE" w:rsidRPr="00EE7A94" w14:paraId="64D5A2CB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64DCA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31A7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37 (67%)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B508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15 (52%)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C0F5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22 (85%)</w:t>
            </w:r>
          </w:p>
        </w:tc>
      </w:tr>
      <w:tr w:rsidR="00F323FE" w:rsidRPr="00EE7A94" w14:paraId="2EAF88BA" w14:textId="77777777" w:rsidTr="00F323FE">
        <w:trPr>
          <w:trHeight w:val="188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3417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No. of analyzed patients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2D4B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50 (22, 102)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70E61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77 (31, 111)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F64E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31 (20, 65)</w:t>
            </w:r>
          </w:p>
        </w:tc>
      </w:tr>
      <w:tr w:rsidR="00F323FE" w:rsidRPr="00EE7A94" w14:paraId="721C31A6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D1CF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DF272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AE5C4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D6EB0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0</w:t>
            </w:r>
          </w:p>
        </w:tc>
      </w:tr>
      <w:tr w:rsidR="00F323FE" w:rsidRPr="00EE7A94" w14:paraId="4A152D19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993B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Ratio of analyzed to included patients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5527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9576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BD34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</w:tr>
      <w:tr w:rsidR="00F323FE" w:rsidRPr="00EE7A94" w14:paraId="77155F68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FFDE9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CA7B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AE9A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375A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0</w:t>
            </w:r>
          </w:p>
        </w:tc>
      </w:tr>
      <w:tr w:rsidR="00F323FE" w:rsidRPr="00EE7A94" w14:paraId="33880175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A0D86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Number of participating centers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58127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3 (1, 18)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8AD33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14 (1, 36)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97D48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 (1, 3)</w:t>
            </w:r>
          </w:p>
        </w:tc>
      </w:tr>
      <w:tr w:rsidR="00F323FE" w:rsidRPr="00EE7A94" w14:paraId="02A9017E" w14:textId="77777777" w:rsidTr="00F323FE">
        <w:trPr>
          <w:trHeight w:val="182"/>
          <w:jc w:val="center"/>
        </w:trPr>
        <w:tc>
          <w:tcPr>
            <w:tcW w:w="366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CB83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450E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11</w:t>
            </w:r>
          </w:p>
        </w:tc>
        <w:tc>
          <w:tcPr>
            <w:tcW w:w="253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1755B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6</w:t>
            </w:r>
          </w:p>
        </w:tc>
        <w:tc>
          <w:tcPr>
            <w:tcW w:w="23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FF50E" w14:textId="77777777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5</w:t>
            </w:r>
          </w:p>
        </w:tc>
      </w:tr>
      <w:tr w:rsidR="00F323FE" w:rsidRPr="00EE7A94" w14:paraId="3F2DE92B" w14:textId="77777777" w:rsidTr="00F323FE">
        <w:trPr>
          <w:trHeight w:val="188"/>
          <w:jc w:val="center"/>
        </w:trPr>
        <w:tc>
          <w:tcPr>
            <w:tcW w:w="10401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AE55D" w14:textId="66639A42" w:rsidR="00F323FE" w:rsidRPr="00EE7A94" w:rsidRDefault="00F323FE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E7A94">
              <w:rPr>
                <w:rFonts w:ascii="Calibri" w:eastAsia="Arial" w:hAnsi="Calibri" w:cs="Calibri"/>
                <w:color w:val="000000"/>
              </w:rPr>
              <w:t>*Multi-choice</w:t>
            </w:r>
          </w:p>
        </w:tc>
      </w:tr>
      <w:bookmarkEnd w:id="0"/>
    </w:tbl>
    <w:p w14:paraId="5F56F2EE" w14:textId="77777777" w:rsidR="00F323FE" w:rsidRPr="00EE7A94" w:rsidRDefault="00F323FE" w:rsidP="00F323FE">
      <w:pPr>
        <w:rPr>
          <w:rFonts w:ascii="Calibri" w:hAnsi="Calibri" w:cs="Calibri"/>
        </w:rPr>
      </w:pPr>
    </w:p>
    <w:p w14:paraId="1FA76F8E" w14:textId="77777777" w:rsidR="00F323FE" w:rsidRPr="00EE7A94" w:rsidRDefault="00F323FE" w:rsidP="00F323FE">
      <w:pPr>
        <w:rPr>
          <w:rFonts w:ascii="Calibri" w:hAnsi="Calibri" w:cs="Calibri"/>
        </w:rPr>
      </w:pPr>
    </w:p>
    <w:sectPr w:rsidR="00F323FE" w:rsidRPr="00EE7A9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89A"/>
    <w:rsid w:val="00325725"/>
    <w:rsid w:val="0044289A"/>
    <w:rsid w:val="00A14C21"/>
    <w:rsid w:val="00EE7A94"/>
    <w:rsid w:val="00F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762F2"/>
  <w15:docId w15:val="{0EB42D49-1EF3-4AA5-815A-2F83D9C3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Matylde DIOUF</cp:lastModifiedBy>
  <cp:revision>12</cp:revision>
  <dcterms:created xsi:type="dcterms:W3CDTF">2017-02-28T11:18:00Z</dcterms:created>
  <dcterms:modified xsi:type="dcterms:W3CDTF">2026-03-10T14:49:00Z</dcterms:modified>
  <cp:category/>
</cp:coreProperties>
</file>