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4EC5F" w14:textId="77777777" w:rsidR="00140FB6" w:rsidRPr="00EF462F" w:rsidRDefault="00140FB6" w:rsidP="00140FB6">
      <w:pPr>
        <w:rPr>
          <w:rFonts w:ascii="Calibri" w:hAnsi="Calibri" w:cs="Calibri"/>
        </w:rPr>
      </w:pPr>
      <w:r w:rsidRPr="00EF462F">
        <w:rPr>
          <w:rFonts w:ascii="Calibri" w:hAnsi="Calibri" w:cs="Calibri"/>
          <w:b/>
          <w:bCs/>
        </w:rPr>
        <w:t>Table 4</w:t>
      </w:r>
      <w:r w:rsidRPr="00EF462F">
        <w:rPr>
          <w:rFonts w:ascii="Calibri" w:hAnsi="Calibri" w:cs="Calibri"/>
        </w:rPr>
        <w:t>. Statistical methods and arms exchangeability, stratified by arm adjustment method.</w:t>
      </w:r>
    </w:p>
    <w:p w14:paraId="2F6FCD59" w14:textId="21EC5958" w:rsidR="00DC7F5F" w:rsidRPr="00EF462F" w:rsidRDefault="00DC7F5F">
      <w:pPr>
        <w:rPr>
          <w:rFonts w:ascii="Calibri" w:hAnsi="Calibri" w:cs="Calibri"/>
        </w:rPr>
      </w:pPr>
    </w:p>
    <w:tbl>
      <w:tblPr>
        <w:tblW w:w="10174" w:type="dxa"/>
        <w:jc w:val="center"/>
        <w:tblLayout w:type="fixed"/>
        <w:tblLook w:val="0420" w:firstRow="1" w:lastRow="0" w:firstColumn="0" w:lastColumn="0" w:noHBand="0" w:noVBand="1"/>
      </w:tblPr>
      <w:tblGrid>
        <w:gridCol w:w="3114"/>
        <w:gridCol w:w="1208"/>
        <w:gridCol w:w="3033"/>
        <w:gridCol w:w="2819"/>
      </w:tblGrid>
      <w:tr w:rsidR="00140FB6" w:rsidRPr="00EF462F" w14:paraId="29AF2CF4" w14:textId="77777777" w:rsidTr="00140FB6">
        <w:trPr>
          <w:trHeight w:val="598"/>
          <w:jc w:val="center"/>
        </w:trPr>
        <w:tc>
          <w:tcPr>
            <w:tcW w:w="31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F16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0" w:name="_Hlk224050240"/>
            <w:r w:rsidRPr="00EF462F">
              <w:rPr>
                <w:rFonts w:ascii="Calibri" w:eastAsia="Arial" w:hAnsi="Calibri" w:cs="Calibri"/>
                <w:b/>
                <w:color w:val="000000"/>
              </w:rPr>
              <w:t>Characteristics</w:t>
            </w:r>
            <w:r w:rsidRPr="00EF462F">
              <w:rPr>
                <w:rFonts w:ascii="Calibri" w:eastAsia="Arial" w:hAnsi="Calibri" w:cs="Calibri"/>
                <w:color w:val="000000"/>
              </w:rPr>
              <w:br/>
              <w:t>n(%); median (IQR)</w:t>
            </w:r>
          </w:p>
        </w:tc>
        <w:tc>
          <w:tcPr>
            <w:tcW w:w="12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0BC9" w14:textId="7ECDFCF4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color w:val="000000"/>
              </w:rPr>
              <w:t>Overall</w:t>
            </w:r>
            <w:r w:rsidRPr="00EF462F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F462F">
              <w:rPr>
                <w:rFonts w:ascii="Calibri" w:eastAsia="Arial" w:hAnsi="Calibri" w:cs="Calibri"/>
                <w:color w:val="000000"/>
              </w:rPr>
              <w:br/>
              <w:t>N = 55</w:t>
            </w:r>
          </w:p>
        </w:tc>
        <w:tc>
          <w:tcPr>
            <w:tcW w:w="303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146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color w:val="000000"/>
              </w:rPr>
              <w:t>Balancing-based methods</w:t>
            </w:r>
            <w:r w:rsidRPr="00EF462F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F462F">
              <w:rPr>
                <w:rFonts w:ascii="Calibri" w:eastAsia="Arial" w:hAnsi="Calibri" w:cs="Calibri"/>
                <w:color w:val="000000"/>
              </w:rPr>
              <w:br/>
              <w:t>N = 29</w:t>
            </w:r>
          </w:p>
        </w:tc>
        <w:tc>
          <w:tcPr>
            <w:tcW w:w="28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B35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color w:val="000000"/>
              </w:rPr>
              <w:t>Non-balancing methods</w:t>
            </w:r>
            <w:r w:rsidRPr="00EF462F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F462F">
              <w:rPr>
                <w:rFonts w:ascii="Calibri" w:eastAsia="Arial" w:hAnsi="Calibri" w:cs="Calibri"/>
                <w:color w:val="000000"/>
              </w:rPr>
              <w:br/>
              <w:t>N = 26</w:t>
            </w:r>
          </w:p>
        </w:tc>
      </w:tr>
      <w:tr w:rsidR="00140FB6" w:rsidRPr="00EF462F" w14:paraId="266EE803" w14:textId="77777777" w:rsidTr="00140FB6">
        <w:trPr>
          <w:trHeight w:val="598"/>
          <w:tblHeader/>
          <w:jc w:val="center"/>
        </w:trPr>
        <w:tc>
          <w:tcPr>
            <w:tcW w:w="3114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3B23" w14:textId="135EF2DC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b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color w:val="000000"/>
              </w:rPr>
              <w:t>Statistical features</w:t>
            </w:r>
          </w:p>
        </w:tc>
        <w:tc>
          <w:tcPr>
            <w:tcW w:w="120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6784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3033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BEA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281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E6FAC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</w:tr>
      <w:tr w:rsidR="00140FB6" w:rsidRPr="00EF462F" w14:paraId="36A4C228" w14:textId="77777777" w:rsidTr="00140FB6">
        <w:trPr>
          <w:trHeight w:val="475"/>
          <w:jc w:val="center"/>
        </w:trPr>
        <w:tc>
          <w:tcPr>
            <w:tcW w:w="311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C5027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Sample size rationale</w:t>
            </w:r>
          </w:p>
        </w:tc>
        <w:tc>
          <w:tcPr>
            <w:tcW w:w="120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BB4E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78F0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6F794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60C2610F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946C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Power computation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C4C3C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13 (24%)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3F6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5 (17%)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E800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8 (31%)</w:t>
            </w:r>
          </w:p>
        </w:tc>
      </w:tr>
      <w:tr w:rsidR="00140FB6" w:rsidRPr="00EF462F" w14:paraId="18C42760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2787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Convenience sample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3EB9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9 (16%)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18D1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4 (14%)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F9782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5 (19%)</w:t>
            </w:r>
          </w:p>
        </w:tc>
      </w:tr>
      <w:tr w:rsidR="00140FB6" w:rsidRPr="00EF462F" w14:paraId="0C809F9A" w14:textId="77777777" w:rsidTr="00457A84">
        <w:trPr>
          <w:trHeight w:val="475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75CDA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1DBE7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33 (60%)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E1C6A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20 (69%)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CCC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13 (50%)</w:t>
            </w:r>
          </w:p>
        </w:tc>
      </w:tr>
      <w:tr w:rsidR="00140FB6" w:rsidRPr="00EF462F" w14:paraId="1F711662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78EF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Multiple outcomes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57B0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48 (87%)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D330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28 (97%)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A6C14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20 (77%)</w:t>
            </w:r>
          </w:p>
        </w:tc>
      </w:tr>
      <w:tr w:rsidR="00140FB6" w:rsidRPr="00EF462F" w14:paraId="79930AC3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4734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 xml:space="preserve">    TTE criteria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78E8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34 (62%)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30D0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24 (83%)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6E24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10 (38%)</w:t>
            </w:r>
          </w:p>
        </w:tc>
      </w:tr>
      <w:tr w:rsidR="00140FB6" w:rsidRPr="00EF462F" w14:paraId="58139647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0E6A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 xml:space="preserve">    Tolerance / Safety criteria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D92C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24 (44%)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4844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47E0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15 (58%)</w:t>
            </w:r>
          </w:p>
        </w:tc>
      </w:tr>
      <w:tr w:rsidR="00140FB6" w:rsidRPr="00EF462F" w14:paraId="7D22D439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F1AB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0C3C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3BFAD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188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1DFF6C7C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90334" w14:textId="434A5DBE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bCs/>
                <w:color w:val="000000"/>
              </w:rPr>
              <w:t>Adjustment variables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CCCD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A291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0C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7C61E2A0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9036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Number of planned variables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53A12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6 (4, 8)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1BDB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6 (4, 8)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761DB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</w:tr>
      <w:tr w:rsidR="00140FB6" w:rsidRPr="00EF462F" w14:paraId="028933D8" w14:textId="77777777" w:rsidTr="00457A84">
        <w:trPr>
          <w:trHeight w:val="475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00CA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3797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26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735DA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9B67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25</w:t>
            </w:r>
          </w:p>
        </w:tc>
      </w:tr>
      <w:tr w:rsidR="00140FB6" w:rsidRPr="00EF462F" w14:paraId="4350A26F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6A5A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Description of variables used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EF79B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11 (20%)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DB54D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11 (38%)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1031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40FB6" w:rsidRPr="00EF462F" w14:paraId="06C11769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459B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Justification for variables used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174DB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11 (20%)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CA6B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473F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 (8%)</w:t>
            </w:r>
          </w:p>
        </w:tc>
      </w:tr>
      <w:tr w:rsidR="00140FB6" w:rsidRPr="00EF462F" w14:paraId="76C4FBCD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BBA7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Balance assessment planned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C235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5AE54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DBCE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20CE3012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CDA6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3E08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15 (27%)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AB5D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15 (52%)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029B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40FB6" w:rsidRPr="00EF462F" w14:paraId="58F6CA55" w14:textId="77777777" w:rsidTr="00457A84">
        <w:trPr>
          <w:trHeight w:val="475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6F86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48DC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40 (73%)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F65D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14 (48%)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256B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26 (100%)</w:t>
            </w:r>
          </w:p>
        </w:tc>
      </w:tr>
      <w:tr w:rsidR="00140FB6" w:rsidRPr="00EF462F" w14:paraId="499AE9D8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CFCC4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Overlap assessment planned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B58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6037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EC22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28F86479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EC9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656FD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3 (5%)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4049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3 (10%)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12F8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40FB6" w:rsidRPr="00EF462F" w14:paraId="37C3149B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32C2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0D457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52 (95%)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EEC1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26 (90%)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40A1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26 (100%)</w:t>
            </w:r>
          </w:p>
        </w:tc>
      </w:tr>
      <w:tr w:rsidR="00140FB6" w:rsidRPr="00EF462F" w14:paraId="1FB825BF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6B2F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C12E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2712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DC0B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4AE64535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0E594" w14:textId="1F9B3906" w:rsidR="00140FB6" w:rsidRPr="00EF462F" w:rsidRDefault="00140FB6" w:rsidP="00140F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F462F">
              <w:rPr>
                <w:rFonts w:ascii="Calibri" w:eastAsia="Arial" w:hAnsi="Calibri" w:cs="Calibri"/>
                <w:b/>
                <w:bCs/>
                <w:color w:val="000000"/>
              </w:rPr>
              <w:t>Exchangeability assessment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4179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8BD0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803CA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3742105C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A3D7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Baseline comparison method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5298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68FA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11C2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4674DFBF" w14:textId="77777777" w:rsidTr="00457A84">
        <w:trPr>
          <w:trHeight w:val="475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A6D7D" w14:textId="5D7510F0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Table + SMD (± p-value)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4CF7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13 (24%)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0A9FA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13 (45%)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5943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40FB6" w:rsidRPr="00EF462F" w14:paraId="788150DC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8785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lastRenderedPageBreak/>
              <w:t>Table + p-value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D157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26 (47%)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D661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10 (34%)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2AE3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16 (62%)</w:t>
            </w:r>
          </w:p>
        </w:tc>
      </w:tr>
      <w:tr w:rsidR="00140FB6" w:rsidRPr="00EF462F" w14:paraId="17E684C2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7F79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1420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16 (29%)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EE3E6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6 (21%)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9FB32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10 (38%)</w:t>
            </w:r>
          </w:p>
        </w:tc>
      </w:tr>
      <w:tr w:rsidR="00140FB6" w:rsidRPr="00EF462F" w14:paraId="269A4998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43B8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BA5B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16660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1453E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4F6D6C27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3F015" w14:textId="5828B312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F462F">
              <w:rPr>
                <w:rFonts w:ascii="Calibri" w:eastAsia="Arial" w:hAnsi="Calibri" w:cs="Calibri"/>
                <w:b/>
                <w:bCs/>
                <w:color w:val="000000"/>
              </w:rPr>
              <w:t>Results robustness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24D5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7B2A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CAD9F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40FB6" w:rsidRPr="00EF462F" w14:paraId="525711EC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FC6EB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Sensitivity analyses planned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EE0F1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18 (33%)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4089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17 (59%)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0BBF3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 (4%)</w:t>
            </w:r>
          </w:p>
        </w:tc>
      </w:tr>
      <w:tr w:rsidR="00140FB6" w:rsidRPr="00EF462F" w14:paraId="119B5C02" w14:textId="77777777" w:rsidTr="00457A84">
        <w:trPr>
          <w:trHeight w:val="460"/>
          <w:jc w:val="center"/>
        </w:trPr>
        <w:tc>
          <w:tcPr>
            <w:tcW w:w="31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770DC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Bias acknowledgment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197DD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39 (71%)</w:t>
            </w:r>
          </w:p>
        </w:tc>
        <w:tc>
          <w:tcPr>
            <w:tcW w:w="30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BE182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23 (79%)</w:t>
            </w:r>
          </w:p>
        </w:tc>
        <w:tc>
          <w:tcPr>
            <w:tcW w:w="28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72B78" w14:textId="77777777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F462F">
              <w:rPr>
                <w:rFonts w:ascii="Calibri" w:eastAsia="Arial" w:hAnsi="Calibri" w:cs="Calibri"/>
                <w:color w:val="000000"/>
              </w:rPr>
              <w:t>16 (62%)</w:t>
            </w:r>
          </w:p>
        </w:tc>
      </w:tr>
      <w:tr w:rsidR="00140FB6" w:rsidRPr="00EF462F" w14:paraId="09FF12AC" w14:textId="77777777" w:rsidTr="00457A84">
        <w:trPr>
          <w:trHeight w:val="475"/>
          <w:jc w:val="center"/>
        </w:trPr>
        <w:tc>
          <w:tcPr>
            <w:tcW w:w="1017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8229" w14:textId="6F179F60" w:rsidR="00140FB6" w:rsidRPr="00EF462F" w:rsidRDefault="00140FB6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</w:p>
        </w:tc>
      </w:tr>
      <w:bookmarkEnd w:id="0"/>
    </w:tbl>
    <w:p w14:paraId="032C52E6" w14:textId="77777777" w:rsidR="00140FB6" w:rsidRPr="00EF462F" w:rsidRDefault="00140FB6">
      <w:pPr>
        <w:rPr>
          <w:rFonts w:ascii="Calibri" w:hAnsi="Calibri" w:cs="Calibri"/>
        </w:rPr>
      </w:pPr>
    </w:p>
    <w:sectPr w:rsidR="00140FB6" w:rsidRPr="00EF462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9972E" w14:textId="77777777" w:rsidR="00DB0189" w:rsidRDefault="00DB0189" w:rsidP="00140FB6">
      <w:r>
        <w:separator/>
      </w:r>
    </w:p>
  </w:endnote>
  <w:endnote w:type="continuationSeparator" w:id="0">
    <w:p w14:paraId="209F4489" w14:textId="77777777" w:rsidR="00DB0189" w:rsidRDefault="00DB0189" w:rsidP="0014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5D05" w14:textId="77777777" w:rsidR="00DB0189" w:rsidRDefault="00DB0189" w:rsidP="00140FB6">
      <w:r>
        <w:separator/>
      </w:r>
    </w:p>
  </w:footnote>
  <w:footnote w:type="continuationSeparator" w:id="0">
    <w:p w14:paraId="47B0CB77" w14:textId="77777777" w:rsidR="00DB0189" w:rsidRDefault="00DB0189" w:rsidP="0014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896"/>
    <w:rsid w:val="00140FB6"/>
    <w:rsid w:val="00272FDC"/>
    <w:rsid w:val="00D03896"/>
    <w:rsid w:val="00DB0189"/>
    <w:rsid w:val="00DC7F5F"/>
    <w:rsid w:val="00EF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F2DF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140FB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FB6"/>
  </w:style>
  <w:style w:type="paragraph" w:styleId="Footer">
    <w:name w:val="footer"/>
    <w:basedOn w:val="Normal"/>
    <w:link w:val="FooterChar"/>
    <w:uiPriority w:val="99"/>
    <w:unhideWhenUsed/>
    <w:rsid w:val="00140FB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11</cp:revision>
  <dcterms:created xsi:type="dcterms:W3CDTF">2017-02-28T11:18:00Z</dcterms:created>
  <dcterms:modified xsi:type="dcterms:W3CDTF">2026-03-10T14:51:00Z</dcterms:modified>
  <cp:category/>
</cp:coreProperties>
</file>