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A2FB8" w14:textId="77777777" w:rsidR="001A6D9D" w:rsidRPr="0029387A" w:rsidRDefault="001A6D9D" w:rsidP="001A6D9D">
      <w:pPr>
        <w:spacing w:line="360" w:lineRule="auto"/>
        <w:rPr>
          <w:rFonts w:ascii="Calibri" w:eastAsia="Arial" w:hAnsi="Calibri" w:cs="Calibri"/>
          <w:color w:val="000000"/>
        </w:rPr>
      </w:pPr>
      <w:r w:rsidRPr="0029387A">
        <w:rPr>
          <w:rFonts w:ascii="Calibri" w:eastAsia="Arial" w:hAnsi="Calibri" w:cs="Calibri"/>
          <w:b/>
          <w:bCs/>
          <w:color w:val="000000"/>
        </w:rPr>
        <w:t>Table S2.</w:t>
      </w:r>
      <w:r w:rsidRPr="0029387A">
        <w:rPr>
          <w:rFonts w:ascii="Calibri" w:eastAsia="Arial" w:hAnsi="Calibri" w:cs="Calibri"/>
          <w:color w:val="000000"/>
        </w:rPr>
        <w:t xml:space="preserve"> Study and methodological main characteristics, stratified by control arm data source.</w:t>
      </w:r>
    </w:p>
    <w:p w14:paraId="7BD5F9E0" w14:textId="2C97B649" w:rsidR="00284744" w:rsidRPr="0029387A" w:rsidRDefault="00284744">
      <w:pPr>
        <w:rPr>
          <w:rFonts w:ascii="Calibri" w:hAnsi="Calibri" w:cs="Calibri"/>
        </w:rPr>
      </w:pPr>
    </w:p>
    <w:tbl>
      <w:tblPr>
        <w:tblW w:w="9183" w:type="dxa"/>
        <w:jc w:val="center"/>
        <w:tblLayout w:type="fixed"/>
        <w:tblLook w:val="0420" w:firstRow="1" w:lastRow="0" w:firstColumn="0" w:lastColumn="0" w:noHBand="0" w:noVBand="1"/>
      </w:tblPr>
      <w:tblGrid>
        <w:gridCol w:w="3241"/>
        <w:gridCol w:w="1439"/>
        <w:gridCol w:w="1571"/>
        <w:gridCol w:w="1489"/>
        <w:gridCol w:w="1443"/>
      </w:tblGrid>
      <w:tr w:rsidR="001A6D9D" w:rsidRPr="0029387A" w14:paraId="733DF21F" w14:textId="77777777" w:rsidTr="001A6D9D">
        <w:trPr>
          <w:trHeight w:val="259"/>
          <w:jc w:val="center"/>
        </w:trPr>
        <w:tc>
          <w:tcPr>
            <w:tcW w:w="324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A90B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Arial" w:hAnsi="Calibri" w:cs="Calibri"/>
                <w:color w:val="000000"/>
              </w:rPr>
            </w:pPr>
            <w:bookmarkStart w:id="0" w:name="_Hlk224049912"/>
            <w:r w:rsidRPr="0029387A">
              <w:rPr>
                <w:rFonts w:ascii="Calibri" w:eastAsia="Arial" w:hAnsi="Calibri" w:cs="Calibri"/>
                <w:b/>
                <w:color w:val="000000"/>
              </w:rPr>
              <w:t>Characteristics</w:t>
            </w:r>
            <w:r w:rsidRPr="0029387A">
              <w:rPr>
                <w:rFonts w:ascii="Calibri" w:eastAsia="Arial" w:hAnsi="Calibri" w:cs="Calibri"/>
                <w:color w:val="000000"/>
              </w:rPr>
              <w:br/>
              <w:t>n(%); median (IQR)</w:t>
            </w:r>
          </w:p>
        </w:tc>
        <w:tc>
          <w:tcPr>
            <w:tcW w:w="14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BE22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b/>
                <w:color w:val="000000"/>
              </w:rPr>
              <w:t>Overall</w:t>
            </w:r>
            <w:r w:rsidRPr="0029387A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29387A">
              <w:rPr>
                <w:rFonts w:ascii="Calibri" w:eastAsia="Arial" w:hAnsi="Calibri" w:cs="Calibri"/>
                <w:color w:val="000000"/>
              </w:rPr>
              <w:br/>
              <w:t>N = 55</w:t>
            </w:r>
          </w:p>
        </w:tc>
        <w:tc>
          <w:tcPr>
            <w:tcW w:w="15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F3C1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b/>
                <w:color w:val="000000"/>
              </w:rPr>
              <w:t>EHR/EMR or Claims</w:t>
            </w:r>
            <w:r w:rsidRPr="0029387A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29387A">
              <w:rPr>
                <w:rFonts w:ascii="Calibri" w:eastAsia="Arial" w:hAnsi="Calibri" w:cs="Calibri"/>
                <w:color w:val="000000"/>
              </w:rPr>
              <w:br/>
              <w:t>N = 42</w:t>
            </w:r>
          </w:p>
        </w:tc>
        <w:tc>
          <w:tcPr>
            <w:tcW w:w="14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052D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b/>
                <w:color w:val="000000"/>
              </w:rPr>
              <w:t>Cohort or Register</w:t>
            </w:r>
            <w:r w:rsidRPr="0029387A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29387A">
              <w:rPr>
                <w:rFonts w:ascii="Calibri" w:eastAsia="Arial" w:hAnsi="Calibri" w:cs="Calibri"/>
                <w:color w:val="000000"/>
              </w:rPr>
              <w:br/>
              <w:t>N = 10</w:t>
            </w:r>
          </w:p>
        </w:tc>
        <w:tc>
          <w:tcPr>
            <w:tcW w:w="14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69C7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b/>
                <w:color w:val="000000"/>
              </w:rPr>
              <w:t>Not reported</w:t>
            </w:r>
            <w:r w:rsidRPr="0029387A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29387A">
              <w:rPr>
                <w:rFonts w:ascii="Calibri" w:eastAsia="Arial" w:hAnsi="Calibri" w:cs="Calibri"/>
                <w:color w:val="000000"/>
              </w:rPr>
              <w:br/>
              <w:t>N = 3</w:t>
            </w:r>
          </w:p>
        </w:tc>
      </w:tr>
      <w:tr w:rsidR="001A6D9D" w:rsidRPr="0029387A" w14:paraId="7BE0774B" w14:textId="77777777" w:rsidTr="001A6D9D">
        <w:trPr>
          <w:trHeight w:val="259"/>
          <w:tblHeader/>
          <w:jc w:val="center"/>
        </w:trPr>
        <w:tc>
          <w:tcPr>
            <w:tcW w:w="3241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FF5E3" w14:textId="5552A19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Arial" w:hAnsi="Calibri" w:cs="Calibri"/>
                <w:b/>
                <w:color w:val="000000"/>
              </w:rPr>
            </w:pPr>
            <w:r w:rsidRPr="0029387A">
              <w:rPr>
                <w:rFonts w:ascii="Calibri" w:eastAsia="Arial" w:hAnsi="Calibri" w:cs="Calibri"/>
                <w:b/>
                <w:color w:val="000000"/>
              </w:rPr>
              <w:t>Publication and study details</w:t>
            </w:r>
          </w:p>
        </w:tc>
        <w:tc>
          <w:tcPr>
            <w:tcW w:w="1439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8B95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  <w:tc>
          <w:tcPr>
            <w:tcW w:w="1571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A269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  <w:tc>
          <w:tcPr>
            <w:tcW w:w="1489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6C08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  <w:tc>
          <w:tcPr>
            <w:tcW w:w="1442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5B15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</w:tr>
      <w:tr w:rsidR="001A6D9D" w:rsidRPr="0029387A" w14:paraId="0199DEAB" w14:textId="77777777" w:rsidTr="001A6D9D">
        <w:trPr>
          <w:trHeight w:val="205"/>
          <w:jc w:val="center"/>
        </w:trPr>
        <w:tc>
          <w:tcPr>
            <w:tcW w:w="324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E8E9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Publication year</w:t>
            </w:r>
          </w:p>
        </w:tc>
        <w:tc>
          <w:tcPr>
            <w:tcW w:w="143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01B87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2022 (2017, 2023)</w:t>
            </w:r>
          </w:p>
        </w:tc>
        <w:tc>
          <w:tcPr>
            <w:tcW w:w="157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CF57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2022 (2019, 2023)</w:t>
            </w:r>
          </w:p>
        </w:tc>
        <w:tc>
          <w:tcPr>
            <w:tcW w:w="148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2A86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2023 (2021, 2023)</w:t>
            </w:r>
          </w:p>
        </w:tc>
        <w:tc>
          <w:tcPr>
            <w:tcW w:w="144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287A0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2016 (2003, 2017)</w:t>
            </w:r>
          </w:p>
        </w:tc>
      </w:tr>
      <w:tr w:rsidR="001A6D9D" w:rsidRPr="0029387A" w14:paraId="514604CF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FFBEC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Industry link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0503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3591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E960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E364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A6D9D" w:rsidRPr="0029387A" w14:paraId="69703BBC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3551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Yes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314C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28 (51%)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24CC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18 (43%)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82045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9 (90%)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AD6D3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(33%)</w:t>
            </w:r>
          </w:p>
        </w:tc>
      </w:tr>
      <w:tr w:rsidR="001A6D9D" w:rsidRPr="0029387A" w14:paraId="0331455E" w14:textId="77777777" w:rsidTr="00457A84">
        <w:trPr>
          <w:trHeight w:val="205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08865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No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D5027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9 (16%)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8AA4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8 (19%)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8616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(10%)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D3B1B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1A6D9D" w:rsidRPr="0029387A" w14:paraId="32A43B33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ED05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Inconclusive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C2F8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18 (33%)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7C07B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16 (38%)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00D3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0 (0%)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8E63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 (67%)</w:t>
            </w:r>
          </w:p>
        </w:tc>
      </w:tr>
      <w:tr w:rsidR="001A6D9D" w:rsidRPr="0029387A" w14:paraId="5CB795F2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7E233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D912C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72C3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8DF5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C51B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A6D9D" w:rsidRPr="0029387A" w14:paraId="08DFEF3D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2077C" w14:textId="49F6D664" w:rsidR="001A6D9D" w:rsidRPr="0029387A" w:rsidRDefault="001A6D9D" w:rsidP="001A6D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29387A">
              <w:rPr>
                <w:rFonts w:ascii="Calibri" w:eastAsia="Arial" w:hAnsi="Calibri" w:cs="Calibri"/>
                <w:b/>
                <w:bCs/>
                <w:color w:val="000000"/>
              </w:rPr>
              <w:t>Arm adjustment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60F9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1E5B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62B4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6B9B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A6D9D" w:rsidRPr="0029387A" w14:paraId="28AA27DA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FD2F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Ratio of analyzed patients (control/experimental)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E2E57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4B82B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A0723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0A86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</w:tr>
      <w:tr w:rsidR="001A6D9D" w:rsidRPr="0029387A" w14:paraId="7DD1520D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7B043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1BA8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EA69C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AA463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12B27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0</w:t>
            </w:r>
          </w:p>
        </w:tc>
      </w:tr>
      <w:tr w:rsidR="001A6D9D" w:rsidRPr="0029387A" w14:paraId="7042139A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5C99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Arm adjustment method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36BE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FC37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B067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5148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A6D9D" w:rsidRPr="0029387A" w14:paraId="2B1685F6" w14:textId="77777777" w:rsidTr="00457A84">
        <w:trPr>
          <w:trHeight w:val="205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6E57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Balancing-based methods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EF800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29 (53%)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D010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20 (48%)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E1C87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8 (80%)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9217C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(33%)</w:t>
            </w:r>
          </w:p>
        </w:tc>
      </w:tr>
      <w:tr w:rsidR="001A6D9D" w:rsidRPr="0029387A" w14:paraId="59D0372A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E082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Non-balancing methods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ACB0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26 (47%)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CB599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22 (52%)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F7C70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 (20%)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57D9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 (67%)</w:t>
            </w:r>
          </w:p>
        </w:tc>
      </w:tr>
      <w:tr w:rsidR="001A6D9D" w:rsidRPr="0029387A" w14:paraId="15E710B2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12545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No. of planned adjustment covariates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F87D5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6 (4, 8)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ABFF5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6 (4, 8)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3021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7 (4, 10)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39E9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3 (3, 3)</w:t>
            </w:r>
          </w:p>
        </w:tc>
      </w:tr>
      <w:tr w:rsidR="001A6D9D" w:rsidRPr="0029387A" w14:paraId="217EECDC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84558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92227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FFC33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22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AF5B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02D8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</w:t>
            </w:r>
          </w:p>
        </w:tc>
      </w:tr>
      <w:tr w:rsidR="001A6D9D" w:rsidRPr="0029387A" w14:paraId="18A4913C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AF34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43AD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3407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C4189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B02B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A6D9D" w:rsidRPr="0029387A" w14:paraId="3627D809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D593F" w14:textId="65C77EFE" w:rsidR="001A6D9D" w:rsidRPr="0029387A" w:rsidRDefault="001A6D9D" w:rsidP="001A6D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29387A">
              <w:rPr>
                <w:rFonts w:ascii="Calibri" w:eastAsia="Arial" w:hAnsi="Calibri" w:cs="Calibri"/>
                <w:b/>
                <w:bCs/>
                <w:color w:val="000000"/>
              </w:rPr>
              <w:t>RWD settings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58D5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D33E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DF0C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AC86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A6D9D" w:rsidRPr="0029387A" w14:paraId="3D6DA2DE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5521C" w14:textId="2CAAD74C" w:rsidR="001A6D9D" w:rsidRPr="0029387A" w:rsidRDefault="001A6D9D" w:rsidP="001A6D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 xml:space="preserve">  Control arm data terminology*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BE46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5E9E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C373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FE8AB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A6D9D" w:rsidRPr="0029387A" w14:paraId="3F61D957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1677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 xml:space="preserve">    Real-World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B6599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16 (29%)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573DB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13 (31%)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A40C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3 (30%)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49A58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1A6D9D" w:rsidRPr="0029387A" w14:paraId="16416849" w14:textId="77777777" w:rsidTr="00457A84">
        <w:trPr>
          <w:trHeight w:val="205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BC15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 xml:space="preserve">    Historical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5CFB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38 (69%)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DC15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29 (69%)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02DF5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6 (60%)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FDEC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3 (100%)</w:t>
            </w:r>
          </w:p>
        </w:tc>
      </w:tr>
      <w:tr w:rsidR="001A6D9D" w:rsidRPr="0029387A" w14:paraId="76B80B81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A67A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 xml:space="preserve">    Other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72EC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5 (9%)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B9D6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3 (7%)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363D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 (20%)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9477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1A6D9D" w:rsidRPr="0029387A" w14:paraId="553F370B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E3B3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lastRenderedPageBreak/>
              <w:t>Ratio of participating centers (control/experimental)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18CD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(1, 3)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5A76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(1, 1)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38E8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 (1, 30)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EC958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 xml:space="preserve">NA </w:t>
            </w:r>
          </w:p>
        </w:tc>
      </w:tr>
      <w:tr w:rsidR="001A6D9D" w:rsidRPr="0029387A" w14:paraId="15AE5DD0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F876C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B1FB0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16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B7AA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7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E339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6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DDB2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3</w:t>
            </w:r>
          </w:p>
        </w:tc>
      </w:tr>
      <w:tr w:rsidR="001A6D9D" w:rsidRPr="0029387A" w14:paraId="63B30C88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1AFD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Enrollment time gap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34BDB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0 (-1, 1)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1E35B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0 (-1, 1)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BE8E2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0 (-3, 0)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2033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(1, 1)</w:t>
            </w:r>
          </w:p>
        </w:tc>
      </w:tr>
      <w:tr w:rsidR="001A6D9D" w:rsidRPr="0029387A" w14:paraId="7E3743CA" w14:textId="77777777" w:rsidTr="00457A84">
        <w:trPr>
          <w:trHeight w:val="205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4A149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C4C3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23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53DB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16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C6300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5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EDD93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</w:t>
            </w:r>
          </w:p>
        </w:tc>
      </w:tr>
      <w:tr w:rsidR="001A6D9D" w:rsidRPr="0029387A" w14:paraId="25035457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09219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Enrollment start lag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18A58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-3 (-6, -1)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533D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-3 (-6, -2)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20808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-9 (-12, -1)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B07B4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-2 (-2, -2)</w:t>
            </w:r>
          </w:p>
        </w:tc>
      </w:tr>
      <w:tr w:rsidR="001A6D9D" w:rsidRPr="0029387A" w14:paraId="07ADF77E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7602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17EA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21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3CFFC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14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EED29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5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D060D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</w:t>
            </w:r>
          </w:p>
        </w:tc>
      </w:tr>
      <w:tr w:rsidR="001A6D9D" w:rsidRPr="0029387A" w14:paraId="7DE2BA0C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C5D4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Multiple therapeutical strategies in the control arm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3A26B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AC81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B502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DF528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A6D9D" w:rsidRPr="0029387A" w14:paraId="6EE01FD0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593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Yes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48C3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20 (36%)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515F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14 (33%)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79C36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4 (40%)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09F68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 (67%)</w:t>
            </w:r>
          </w:p>
        </w:tc>
      </w:tr>
      <w:tr w:rsidR="001A6D9D" w:rsidRPr="0029387A" w14:paraId="02BC9A61" w14:textId="77777777" w:rsidTr="00457A84">
        <w:trPr>
          <w:trHeight w:val="199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14FE5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No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2DC3C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8 (15%)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7ADAF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6 (14%)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EDBC7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(10%)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24CE3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1 (33%)</w:t>
            </w:r>
          </w:p>
        </w:tc>
      </w:tr>
      <w:tr w:rsidR="001A6D9D" w:rsidRPr="0029387A" w14:paraId="49BC0D20" w14:textId="77777777" w:rsidTr="00457A84">
        <w:trPr>
          <w:trHeight w:val="205"/>
          <w:jc w:val="center"/>
        </w:trPr>
        <w:tc>
          <w:tcPr>
            <w:tcW w:w="324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B1CBC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Strategy not described</w:t>
            </w:r>
          </w:p>
        </w:tc>
        <w:tc>
          <w:tcPr>
            <w:tcW w:w="14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A1331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27 (49%)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F26CE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22 (52%)</w:t>
            </w:r>
          </w:p>
        </w:tc>
        <w:tc>
          <w:tcPr>
            <w:tcW w:w="14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064D0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5 (50%)</w:t>
            </w:r>
          </w:p>
        </w:tc>
        <w:tc>
          <w:tcPr>
            <w:tcW w:w="14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826FA" w14:textId="77777777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1A6D9D" w:rsidRPr="0029387A" w14:paraId="6C578D74" w14:textId="77777777" w:rsidTr="00457A84">
        <w:trPr>
          <w:trHeight w:val="199"/>
          <w:jc w:val="center"/>
        </w:trPr>
        <w:tc>
          <w:tcPr>
            <w:tcW w:w="9183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E30AA" w14:textId="2574062A" w:rsidR="001A6D9D" w:rsidRPr="0029387A" w:rsidRDefault="001A6D9D" w:rsidP="001A6D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bookmarkStart w:id="1" w:name="_Hlk204098346"/>
            <w:r w:rsidRPr="0029387A">
              <w:rPr>
                <w:rFonts w:ascii="Calibri" w:eastAsia="Arial" w:hAnsi="Calibri" w:cs="Calibri"/>
                <w:color w:val="000000"/>
              </w:rPr>
              <w:t>EHR: Electronic health records; EMR: Electronic medical records</w:t>
            </w:r>
            <w:bookmarkEnd w:id="1"/>
            <w:r w:rsidRPr="0029387A">
              <w:rPr>
                <w:rFonts w:ascii="Calibri" w:eastAsia="Arial" w:hAnsi="Calibri" w:cs="Calibri"/>
                <w:color w:val="000000"/>
              </w:rPr>
              <w:t>; NA: Missing; RWD: Real-world data.</w:t>
            </w:r>
          </w:p>
          <w:p w14:paraId="7DE59A26" w14:textId="26C411DE" w:rsidR="001A6D9D" w:rsidRPr="0029387A" w:rsidRDefault="001A6D9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29387A">
              <w:rPr>
                <w:rFonts w:ascii="Calibri" w:eastAsia="Arial" w:hAnsi="Calibri" w:cs="Calibri"/>
                <w:color w:val="000000"/>
              </w:rPr>
              <w:t>*Multi-choice</w:t>
            </w:r>
          </w:p>
        </w:tc>
      </w:tr>
      <w:bookmarkEnd w:id="0"/>
    </w:tbl>
    <w:p w14:paraId="5338E4E9" w14:textId="77777777" w:rsidR="001A6D9D" w:rsidRPr="0029387A" w:rsidRDefault="001A6D9D">
      <w:pPr>
        <w:rPr>
          <w:rFonts w:ascii="Calibri" w:hAnsi="Calibri" w:cs="Calibri"/>
        </w:rPr>
      </w:pPr>
    </w:p>
    <w:sectPr w:rsidR="001A6D9D" w:rsidRPr="0029387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81A"/>
    <w:rsid w:val="0008381A"/>
    <w:rsid w:val="001A6D9D"/>
    <w:rsid w:val="00284744"/>
    <w:rsid w:val="0029387A"/>
    <w:rsid w:val="007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9723"/>
  <w15:docId w15:val="{0EB42D49-1EF3-4AA5-815A-2F83D9C3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Matylde DIOUF</cp:lastModifiedBy>
  <cp:revision>12</cp:revision>
  <dcterms:created xsi:type="dcterms:W3CDTF">2017-02-28T11:18:00Z</dcterms:created>
  <dcterms:modified xsi:type="dcterms:W3CDTF">2026-03-10T17:10:00Z</dcterms:modified>
  <cp:category/>
</cp:coreProperties>
</file>