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19F59" w14:textId="41CD3D60" w:rsidR="00262C12" w:rsidRPr="00F54FF0" w:rsidRDefault="00387345">
      <w:pPr>
        <w:rPr>
          <w:rFonts w:ascii="Calibri" w:hAnsi="Calibri" w:cs="Calibri"/>
        </w:rPr>
      </w:pPr>
      <w:bookmarkStart w:id="0" w:name="_Hlk211606232"/>
      <w:r w:rsidRPr="00F54FF0">
        <w:rPr>
          <w:rFonts w:ascii="Calibri" w:hAnsi="Calibri" w:cs="Calibri"/>
        </w:rPr>
        <w:t xml:space="preserve">Table </w:t>
      </w:r>
      <w:r w:rsidR="00340FDF" w:rsidRPr="00F54FF0">
        <w:rPr>
          <w:rFonts w:ascii="Calibri" w:hAnsi="Calibri" w:cs="Calibri"/>
        </w:rPr>
        <w:t>S</w:t>
      </w:r>
      <w:r w:rsidRPr="00F54FF0">
        <w:rPr>
          <w:rFonts w:ascii="Calibri" w:hAnsi="Calibri" w:cs="Calibri"/>
        </w:rPr>
        <w:t>1. Methodological framework for assessing RWD external control arms in single-arm clinical trials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6094"/>
      </w:tblGrid>
      <w:tr w:rsidR="00262C12" w:rsidRPr="00F54FF0" w14:paraId="40A5C9F0" w14:textId="77777777" w:rsidTr="007D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8" w:type="dxa"/>
          </w:tcPr>
          <w:p w14:paraId="31B355E2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6094" w:type="dxa"/>
          </w:tcPr>
          <w:p w14:paraId="47F2975E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Assessment</w:t>
            </w:r>
          </w:p>
        </w:tc>
      </w:tr>
      <w:tr w:rsidR="00262C12" w:rsidRPr="00F54FF0" w14:paraId="1C5A77B5" w14:textId="77777777" w:rsidTr="007D2C7F">
        <w:tc>
          <w:tcPr>
            <w:tcW w:w="3528" w:type="dxa"/>
          </w:tcPr>
          <w:p w14:paraId="3340DF65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1. Definition of PICO and estimand</w:t>
            </w:r>
          </w:p>
        </w:tc>
        <w:tc>
          <w:tcPr>
            <w:tcW w:w="6094" w:type="dxa"/>
          </w:tcPr>
          <w:p w14:paraId="5AC6EC0C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073FE8CB" w14:textId="77777777" w:rsidTr="007D2C7F">
        <w:tc>
          <w:tcPr>
            <w:tcW w:w="3528" w:type="dxa"/>
          </w:tcPr>
          <w:p w14:paraId="55AF0B15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Population</w:t>
            </w:r>
          </w:p>
        </w:tc>
        <w:tc>
          <w:tcPr>
            <w:tcW w:w="6094" w:type="dxa"/>
          </w:tcPr>
          <w:p w14:paraId="3749048A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Population of interest</w:t>
            </w:r>
          </w:p>
        </w:tc>
      </w:tr>
      <w:tr w:rsidR="00262C12" w:rsidRPr="00F54FF0" w14:paraId="05327B8F" w14:textId="77777777" w:rsidTr="007D2C7F">
        <w:tc>
          <w:tcPr>
            <w:tcW w:w="3528" w:type="dxa"/>
          </w:tcPr>
          <w:p w14:paraId="39D2723D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Intervention</w:t>
            </w:r>
          </w:p>
        </w:tc>
        <w:tc>
          <w:tcPr>
            <w:tcW w:w="6094" w:type="dxa"/>
          </w:tcPr>
          <w:p w14:paraId="5975545E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Intervention applied in the experimental arm</w:t>
            </w:r>
          </w:p>
        </w:tc>
      </w:tr>
      <w:tr w:rsidR="00262C12" w:rsidRPr="00F54FF0" w14:paraId="1D69CC2C" w14:textId="77777777" w:rsidTr="007D2C7F">
        <w:tc>
          <w:tcPr>
            <w:tcW w:w="3528" w:type="dxa"/>
          </w:tcPr>
          <w:p w14:paraId="7CBAD584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Comparator</w:t>
            </w:r>
          </w:p>
        </w:tc>
        <w:tc>
          <w:tcPr>
            <w:tcW w:w="6094" w:type="dxa"/>
          </w:tcPr>
          <w:p w14:paraId="269E2E7A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RWD source, Rationale for using RWD</w:t>
            </w:r>
          </w:p>
        </w:tc>
      </w:tr>
      <w:tr w:rsidR="00262C12" w:rsidRPr="00F54FF0" w14:paraId="20375C09" w14:textId="77777777" w:rsidTr="007D2C7F">
        <w:tc>
          <w:tcPr>
            <w:tcW w:w="3528" w:type="dxa"/>
          </w:tcPr>
          <w:p w14:paraId="7ECA8341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Endpoint and measure</w:t>
            </w:r>
          </w:p>
        </w:tc>
        <w:tc>
          <w:tcPr>
            <w:tcW w:w="6094" w:type="dxa"/>
          </w:tcPr>
          <w:p w14:paraId="3A1A5B8F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Endpoint used to assess the efficacy of the intervention</w:t>
            </w:r>
          </w:p>
        </w:tc>
      </w:tr>
      <w:tr w:rsidR="00262C12" w:rsidRPr="00F54FF0" w14:paraId="1A6BABBE" w14:textId="77777777" w:rsidTr="007D2C7F">
        <w:tc>
          <w:tcPr>
            <w:tcW w:w="3528" w:type="dxa"/>
          </w:tcPr>
          <w:p w14:paraId="06D28C01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Estimand</w:t>
            </w:r>
          </w:p>
        </w:tc>
        <w:tc>
          <w:tcPr>
            <w:tcW w:w="6094" w:type="dxa"/>
          </w:tcPr>
          <w:p w14:paraId="5651C7D2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Targeted estimand</w:t>
            </w:r>
          </w:p>
        </w:tc>
      </w:tr>
      <w:tr w:rsidR="00262C12" w:rsidRPr="00F54FF0" w14:paraId="7E5D2CC8" w14:textId="77777777" w:rsidTr="007D2C7F">
        <w:tc>
          <w:tcPr>
            <w:tcW w:w="3528" w:type="dxa"/>
          </w:tcPr>
          <w:p w14:paraId="2FA85371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6094" w:type="dxa"/>
          </w:tcPr>
          <w:p w14:paraId="6795F176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5EF94E54" w14:textId="77777777" w:rsidTr="007D2C7F">
        <w:tc>
          <w:tcPr>
            <w:tcW w:w="3528" w:type="dxa"/>
          </w:tcPr>
          <w:p w14:paraId="578BEA98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2. Selection of RWD external control arm</w:t>
            </w:r>
          </w:p>
        </w:tc>
        <w:tc>
          <w:tcPr>
            <w:tcW w:w="6094" w:type="dxa"/>
          </w:tcPr>
          <w:p w14:paraId="2DB39F76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49CF153B" w14:textId="77777777" w:rsidTr="007D2C7F">
        <w:tc>
          <w:tcPr>
            <w:tcW w:w="3528" w:type="dxa"/>
          </w:tcPr>
          <w:p w14:paraId="1D3ECBE7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Homogeneity of populations</w:t>
            </w:r>
          </w:p>
        </w:tc>
        <w:tc>
          <w:tcPr>
            <w:tcW w:w="6094" w:type="dxa"/>
          </w:tcPr>
          <w:p w14:paraId="0D21192A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Arm comparability</w:t>
            </w:r>
            <w:r w:rsidRPr="00F54FF0">
              <w:rPr>
                <w:rFonts w:ascii="Calibri" w:hAnsi="Calibri" w:cs="Calibri"/>
              </w:rPr>
              <w:br/>
              <w:t>Consistent inclusion criteria across arms, Mean number of centers per arm, Identical centers across both arms</w:t>
            </w:r>
            <w:r w:rsidRPr="00F54FF0">
              <w:rPr>
                <w:rFonts w:ascii="Calibri" w:hAnsi="Calibri" w:cs="Calibri"/>
              </w:rPr>
              <w:br/>
            </w:r>
            <w:r w:rsidRPr="00F54FF0">
              <w:rPr>
                <w:rFonts w:ascii="Calibri" w:hAnsi="Calibri" w:cs="Calibri"/>
                <w:b/>
                <w:bCs/>
              </w:rPr>
              <w:t>Temporal alignment</w:t>
            </w:r>
            <w:r w:rsidRPr="00F54FF0">
              <w:rPr>
                <w:rFonts w:ascii="Calibri" w:hAnsi="Calibri" w:cs="Calibri"/>
              </w:rPr>
              <w:br/>
              <w:t>Enrollment inception in both arms</w:t>
            </w:r>
          </w:p>
        </w:tc>
      </w:tr>
      <w:tr w:rsidR="00262C12" w:rsidRPr="00F54FF0" w14:paraId="648DC253" w14:textId="77777777" w:rsidTr="007D2C7F">
        <w:tc>
          <w:tcPr>
            <w:tcW w:w="3528" w:type="dxa"/>
          </w:tcPr>
          <w:p w14:paraId="286E6262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Treatment onset and characteristics</w:t>
            </w:r>
          </w:p>
        </w:tc>
        <w:tc>
          <w:tcPr>
            <w:tcW w:w="6094" w:type="dxa"/>
          </w:tcPr>
          <w:p w14:paraId="2DC11D4C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Consistent index date definition across arms, Description of treatment strategy in the control arm</w:t>
            </w:r>
          </w:p>
        </w:tc>
      </w:tr>
      <w:tr w:rsidR="00262C12" w:rsidRPr="00F54FF0" w14:paraId="4F5FB8B2" w14:textId="77777777" w:rsidTr="007D2C7F">
        <w:tc>
          <w:tcPr>
            <w:tcW w:w="3528" w:type="dxa"/>
          </w:tcPr>
          <w:p w14:paraId="2D64E290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6094" w:type="dxa"/>
          </w:tcPr>
          <w:p w14:paraId="1254842F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7B3290FA" w14:textId="77777777" w:rsidTr="007D2C7F">
        <w:tc>
          <w:tcPr>
            <w:tcW w:w="3528" w:type="dxa"/>
          </w:tcPr>
          <w:p w14:paraId="263D524B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3. Methods for the indirect comparison</w:t>
            </w:r>
          </w:p>
        </w:tc>
        <w:tc>
          <w:tcPr>
            <w:tcW w:w="6094" w:type="dxa"/>
          </w:tcPr>
          <w:p w14:paraId="198AC19E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3927748D" w14:textId="77777777" w:rsidTr="007D2C7F">
        <w:tc>
          <w:tcPr>
            <w:tcW w:w="3528" w:type="dxa"/>
          </w:tcPr>
          <w:p w14:paraId="5DF0CB11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a. Identifiability hypotheses</w:t>
            </w:r>
          </w:p>
        </w:tc>
        <w:tc>
          <w:tcPr>
            <w:tcW w:w="6094" w:type="dxa"/>
          </w:tcPr>
          <w:p w14:paraId="79AB3BF1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3FB391E0" w14:textId="77777777" w:rsidTr="007D2C7F">
        <w:tc>
          <w:tcPr>
            <w:tcW w:w="3528" w:type="dxa"/>
          </w:tcPr>
          <w:p w14:paraId="39AF238F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Consistency</w:t>
            </w:r>
          </w:p>
        </w:tc>
        <w:tc>
          <w:tcPr>
            <w:tcW w:w="6094" w:type="dxa"/>
          </w:tcPr>
          <w:p w14:paraId="0EF3F2BA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Consistent outcome assessment, Multiple treatment strategies in control arm</w:t>
            </w:r>
          </w:p>
        </w:tc>
      </w:tr>
      <w:tr w:rsidR="00262C12" w:rsidRPr="00F54FF0" w14:paraId="04232535" w14:textId="77777777" w:rsidTr="007D2C7F">
        <w:tc>
          <w:tcPr>
            <w:tcW w:w="3528" w:type="dxa"/>
          </w:tcPr>
          <w:p w14:paraId="66F02314" w14:textId="246A68F1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 xml:space="preserve">Stable Unit Treatment Value Assumption </w:t>
            </w:r>
            <w:r w:rsidR="00340FDF" w:rsidRPr="00F54FF0">
              <w:rPr>
                <w:rFonts w:ascii="Calibri" w:hAnsi="Calibri" w:cs="Calibri"/>
              </w:rPr>
              <w:t>(</w:t>
            </w:r>
            <w:r w:rsidRPr="00F54FF0">
              <w:rPr>
                <w:rFonts w:ascii="Calibri" w:hAnsi="Calibri" w:cs="Calibri"/>
              </w:rPr>
              <w:t>SUTVA</w:t>
            </w:r>
            <w:r w:rsidR="00340FDF" w:rsidRPr="00F54FF0">
              <w:rPr>
                <w:rFonts w:ascii="Calibri" w:hAnsi="Calibri" w:cs="Calibri"/>
              </w:rPr>
              <w:t>)</w:t>
            </w:r>
          </w:p>
        </w:tc>
        <w:tc>
          <w:tcPr>
            <w:tcW w:w="6094" w:type="dxa"/>
          </w:tcPr>
          <w:p w14:paraId="257E94E7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i/>
                <w:iCs/>
              </w:rPr>
              <w:t>Checked a priori in drug evaluation</w:t>
            </w:r>
          </w:p>
        </w:tc>
      </w:tr>
      <w:tr w:rsidR="00262C12" w:rsidRPr="00F54FF0" w14:paraId="69B8A95B" w14:textId="77777777" w:rsidTr="007D2C7F">
        <w:tc>
          <w:tcPr>
            <w:tcW w:w="3528" w:type="dxa"/>
          </w:tcPr>
          <w:p w14:paraId="53571A13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Conditional independence</w:t>
            </w:r>
          </w:p>
        </w:tc>
        <w:tc>
          <w:tcPr>
            <w:tcW w:w="6094" w:type="dxa"/>
          </w:tcPr>
          <w:p w14:paraId="4F90311B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Type of adjustment covariate used, Rationale for covariate selection, Planned assessment of covariate balance between arms after adjustment</w:t>
            </w:r>
          </w:p>
        </w:tc>
      </w:tr>
      <w:tr w:rsidR="00262C12" w:rsidRPr="00F54FF0" w14:paraId="20358FC7" w14:textId="77777777" w:rsidTr="007D2C7F">
        <w:tc>
          <w:tcPr>
            <w:tcW w:w="3528" w:type="dxa"/>
          </w:tcPr>
          <w:p w14:paraId="6C45EC03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Positivity</w:t>
            </w:r>
          </w:p>
        </w:tc>
        <w:tc>
          <w:tcPr>
            <w:tcW w:w="6094" w:type="dxa"/>
          </w:tcPr>
          <w:p w14:paraId="517C14C4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Planned assessment of covariate or propensity score (if applicable) distribution overlap after adjustment</w:t>
            </w:r>
          </w:p>
        </w:tc>
      </w:tr>
      <w:tr w:rsidR="00262C12" w:rsidRPr="00F54FF0" w14:paraId="0D809783" w14:textId="77777777" w:rsidTr="007D2C7F">
        <w:tc>
          <w:tcPr>
            <w:tcW w:w="3528" w:type="dxa"/>
          </w:tcPr>
          <w:p w14:paraId="41D98056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  <w:b/>
                <w:bCs/>
              </w:rPr>
              <w:t>b. Statistical considerations</w:t>
            </w:r>
          </w:p>
        </w:tc>
        <w:tc>
          <w:tcPr>
            <w:tcW w:w="6094" w:type="dxa"/>
          </w:tcPr>
          <w:p w14:paraId="501D422D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62C12" w:rsidRPr="00F54FF0" w14:paraId="339FD4EF" w14:textId="77777777" w:rsidTr="007D2C7F">
        <w:tc>
          <w:tcPr>
            <w:tcW w:w="3528" w:type="dxa"/>
          </w:tcPr>
          <w:p w14:paraId="194123EE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Endpoint</w:t>
            </w:r>
          </w:p>
        </w:tc>
        <w:tc>
          <w:tcPr>
            <w:tcW w:w="6094" w:type="dxa"/>
          </w:tcPr>
          <w:p w14:paraId="730C22CC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Definition of the endpoint</w:t>
            </w:r>
          </w:p>
        </w:tc>
      </w:tr>
      <w:tr w:rsidR="00262C12" w:rsidRPr="00F54FF0" w14:paraId="382003CA" w14:textId="77777777" w:rsidTr="007D2C7F">
        <w:tc>
          <w:tcPr>
            <w:tcW w:w="3528" w:type="dxa"/>
          </w:tcPr>
          <w:p w14:paraId="15B8B329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Multiplicity</w:t>
            </w:r>
          </w:p>
        </w:tc>
        <w:tc>
          <w:tcPr>
            <w:tcW w:w="6094" w:type="dxa"/>
          </w:tcPr>
          <w:p w14:paraId="69BDF9AB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Approach for handling multiplicity, if applicable</w:t>
            </w:r>
          </w:p>
        </w:tc>
      </w:tr>
      <w:tr w:rsidR="00262C12" w:rsidRPr="00F54FF0" w14:paraId="731E2EC5" w14:textId="77777777" w:rsidTr="007D2C7F">
        <w:tc>
          <w:tcPr>
            <w:tcW w:w="3528" w:type="dxa"/>
          </w:tcPr>
          <w:p w14:paraId="3F3E4116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Missing data</w:t>
            </w:r>
          </w:p>
        </w:tc>
        <w:tc>
          <w:tcPr>
            <w:tcW w:w="6094" w:type="dxa"/>
          </w:tcPr>
          <w:p w14:paraId="5253C7A0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Method for handling missing data</w:t>
            </w:r>
          </w:p>
        </w:tc>
      </w:tr>
      <w:tr w:rsidR="00262C12" w:rsidRPr="00F54FF0" w14:paraId="6F72C914" w14:textId="77777777" w:rsidTr="007D2C7F">
        <w:tc>
          <w:tcPr>
            <w:tcW w:w="3528" w:type="dxa"/>
          </w:tcPr>
          <w:p w14:paraId="67F5401D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Sample size</w:t>
            </w:r>
          </w:p>
        </w:tc>
        <w:tc>
          <w:tcPr>
            <w:tcW w:w="6094" w:type="dxa"/>
          </w:tcPr>
          <w:p w14:paraId="46A97ED0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 xml:space="preserve">Justification of sample size for both arms and parameters </w:t>
            </w:r>
            <w:r w:rsidRPr="00F54FF0">
              <w:rPr>
                <w:rFonts w:ascii="Calibri" w:hAnsi="Calibri" w:cs="Calibri"/>
              </w:rPr>
              <w:lastRenderedPageBreak/>
              <w:t>used</w:t>
            </w:r>
          </w:p>
        </w:tc>
      </w:tr>
      <w:tr w:rsidR="00262C12" w:rsidRPr="00F54FF0" w14:paraId="45FDD632" w14:textId="77777777" w:rsidTr="007D2C7F">
        <w:tc>
          <w:tcPr>
            <w:tcW w:w="3528" w:type="dxa"/>
          </w:tcPr>
          <w:p w14:paraId="2198E41A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lastRenderedPageBreak/>
              <w:t>Adjustment</w:t>
            </w:r>
          </w:p>
        </w:tc>
        <w:tc>
          <w:tcPr>
            <w:tcW w:w="6094" w:type="dxa"/>
          </w:tcPr>
          <w:p w14:paraId="01737937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Method used to adjust for baseline arm comparability</w:t>
            </w:r>
          </w:p>
        </w:tc>
      </w:tr>
      <w:tr w:rsidR="00262C12" w:rsidRPr="00F54FF0" w14:paraId="34A4F419" w14:textId="77777777" w:rsidTr="007D2C7F">
        <w:tc>
          <w:tcPr>
            <w:tcW w:w="3528" w:type="dxa"/>
            <w:tcBorders>
              <w:bottom w:val="single" w:sz="4" w:space="0" w:color="auto"/>
            </w:tcBorders>
          </w:tcPr>
          <w:p w14:paraId="360F243E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Results robustness</w:t>
            </w:r>
          </w:p>
        </w:tc>
        <w:tc>
          <w:tcPr>
            <w:tcW w:w="6094" w:type="dxa"/>
            <w:tcBorders>
              <w:bottom w:val="single" w:sz="4" w:space="0" w:color="auto"/>
            </w:tcBorders>
          </w:tcPr>
          <w:p w14:paraId="7DEE28EC" w14:textId="77777777" w:rsidR="00262C12" w:rsidRPr="00F54FF0" w:rsidRDefault="00262C12" w:rsidP="007D2C7F">
            <w:pPr>
              <w:pStyle w:val="Compact"/>
              <w:rPr>
                <w:rFonts w:ascii="Calibri" w:hAnsi="Calibri" w:cs="Calibri"/>
              </w:rPr>
            </w:pPr>
            <w:r w:rsidRPr="00F54FF0">
              <w:rPr>
                <w:rFonts w:ascii="Calibri" w:hAnsi="Calibri" w:cs="Calibri"/>
              </w:rPr>
              <w:t>Sensitivity analyses and their comparability to the primary analysis</w:t>
            </w:r>
          </w:p>
        </w:tc>
      </w:tr>
    </w:tbl>
    <w:p w14:paraId="138007AE" w14:textId="77326C46" w:rsidR="00262C12" w:rsidRPr="00F54FF0" w:rsidRDefault="007C1A72">
      <w:pPr>
        <w:rPr>
          <w:rFonts w:ascii="Calibri" w:hAnsi="Calibri" w:cs="Calibri"/>
        </w:rPr>
      </w:pPr>
      <w:r w:rsidRPr="00F54FF0">
        <w:rPr>
          <w:rFonts w:ascii="Calibri" w:hAnsi="Calibri" w:cs="Calibri"/>
        </w:rPr>
        <w:t xml:space="preserve">PICO: Population Intervention Control and Outcome; </w:t>
      </w:r>
      <w:r w:rsidR="00637579" w:rsidRPr="00F54FF0">
        <w:rPr>
          <w:rFonts w:ascii="Calibri" w:hAnsi="Calibri" w:cs="Calibri"/>
        </w:rPr>
        <w:t>RWD: Real-world data</w:t>
      </w:r>
      <w:bookmarkEnd w:id="0"/>
    </w:p>
    <w:sectPr w:rsidR="00262C12" w:rsidRPr="00F54FF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2632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E6"/>
    <w:rsid w:val="00195FAC"/>
    <w:rsid w:val="00262C12"/>
    <w:rsid w:val="00294714"/>
    <w:rsid w:val="00340FDF"/>
    <w:rsid w:val="00387345"/>
    <w:rsid w:val="004D7BF5"/>
    <w:rsid w:val="00637579"/>
    <w:rsid w:val="007453FF"/>
    <w:rsid w:val="007C1A72"/>
    <w:rsid w:val="008451A3"/>
    <w:rsid w:val="00C415E6"/>
    <w:rsid w:val="00C8027F"/>
    <w:rsid w:val="00CD6965"/>
    <w:rsid w:val="00E90C7E"/>
    <w:rsid w:val="00F5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F9D4"/>
  <w15:docId w15:val="{BA8D7363-B190-4963-88D8-36F82A07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Notebook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Notebook</dc:title>
  <dc:creator/>
  <cp:keywords/>
  <cp:lastModifiedBy>Matylde DIOUF</cp:lastModifiedBy>
  <cp:revision>16</cp:revision>
  <dcterms:created xsi:type="dcterms:W3CDTF">2025-06-26T12:44:00Z</dcterms:created>
  <dcterms:modified xsi:type="dcterms:W3CDTF">2025-10-17T13:10:00Z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